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2.png" ContentType="image/png"/>
  <Override PartName="/word/media/rId57.png" ContentType="image/png"/>
  <Override PartName="/word/media/rId61.png" ContentType="image/png"/>
  <Override PartName="/word/media/rId85.png" ContentType="image/png"/>
  <Override PartName="/word/media/rId66.png" ContentType="image/png"/>
  <Override PartName="/word/media/rId74.png" ContentType="image/png"/>
  <Override PartName="/word/media/rId70.png" ContentType="image/png"/>
  <Override PartName="/word/media/rId79.png" ContentType="image/png"/>
  <Override PartName="/word/media/rId94.png" ContentType="image/png"/>
  <Override PartName="/word/media/rId30.png" ContentType="image/png"/>
  <Override PartName="/word/media/rId37.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
          <w:bCs/>
        </w:rPr>
        <w:t xml:space="preserve">Authors:</w:t>
      </w:r>
    </w:p>
    <w:p>
      <w:pPr>
        <w:pStyle w:val="887"/>
      </w:pPr>
      <w:r>
        <w:t xml:space="preserve">Alexander Charles Cebulski</w:t>
      </w:r>
      <w:r>
        <w:rPr>
          <w:vertAlign w:val="superscript"/>
        </w:rPr>
        <w:t xml:space="preserve">1</w:t>
      </w:r>
      <w:r>
        <w:t xml:space="preserve"> </w:t>
      </w:r>
      <w:r>
        <w:t xml:space="preserve">(ORCID ID - 0000-0001-7910-5056)</w:t>
      </w:r>
    </w:p>
    <w:p>
      <w:pPr>
        <w:pStyle w:val="887"/>
      </w:pPr>
      <w:r>
        <w:t xml:space="preserve">John Willard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
          <w:bCs/>
        </w:rPr>
        <w:t xml:space="preserve">Corresponding Author:</w:t>
      </w:r>
      <w:r>
        <w:t xml:space="preserve"> </w:t>
      </w:r>
      <w:r>
        <w:t xml:space="preserve">A.C. Cebulski, 50 Lincoln Park, Canmore, Alberta, Canada, T1W 3E9, alex.cebulski@usask.ca</w:t>
      </w:r>
    </w:p>
    <w:p>
      <w:pPr>
        <w:pStyle w:val="887"/>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density measurement are assessed in two subalpine forest plots in the Canadian Rockies. Contrary to existing theories, no association of canopy snow load or air temperature with interception efficiency was observed. Instead, canopy density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snowfall, canopy cover, and wind speed.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887"/>
      </w:pPr>
      <w:r>
        <w:rPr>
          <w:b/>
          <w:bCs/>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Hallidin,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Storck et al., 2002)</w:t>
      </w:r>
      <w:r>
        <w:t xml:space="preserve">, and thus governs the quantity of snow subject to sublimation from the canopy.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887"/>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that was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air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2025)</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887"/>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9" w:name="theory"/>
    <w:p>
      <w:pPr>
        <w:pStyle w:val="876"/>
      </w:pPr>
      <w:r>
        <w:t xml:space="preserve">2. Theory</w:t>
      </w:r>
    </w:p>
    <w:bookmarkStart w:id="24" w:name="canopy-snow-mass-balance"/>
    <w:p>
      <w:pPr>
        <w:pStyle w:val="877"/>
      </w:pPr>
      <w:r>
        <w:t xml:space="preserve">2.1 Canopy snow mass balance</w:t>
      </w:r>
    </w:p>
    <w:p>
      <w:pPr>
        <w:pStyle w:val="939"/>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887"/>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939"/>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894"/>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887"/>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 (e.g., 0.8 m s</w:t>
      </w:r>
      <w:r>
        <w:rPr>
          <w:vertAlign w:val="superscript"/>
        </w:rPr>
        <w:t xml:space="preserve">-1</w:t>
      </w:r>
      <w:r>
        <w:t xml:space="preserve"> </w:t>
      </w:r>
      <w:r>
        <w:t xml:space="preserve">in</w:t>
      </w:r>
      <w:r>
        <w:t xml:space="preserve"> </w:t>
      </w:r>
      <w:r>
        <w:t xml:space="preserve">Isyumov (1971)</w:t>
      </w:r>
      <w:r>
        <w:t xml:space="preserve">) 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877"/>
      </w:pPr>
      <w:r>
        <w:t xml:space="preserve">2.3 Within-canopy wind flow</w:t>
      </w:r>
    </w:p>
    <w:p>
      <w:pPr>
        <w:pStyle w:val="939"/>
      </w:pP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887"/>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939"/>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jack pine stands, which was applied in this study.</w:t>
      </w:r>
    </w:p>
    <w:bookmarkEnd w:id="28"/>
    <w:bookmarkEnd w:id="29"/>
    <w:bookmarkStart w:id="51" w:name="data-and-methods"/>
    <w:p>
      <w:pPr>
        <w:pStyle w:val="876"/>
      </w:pPr>
      <w:r>
        <w:t xml:space="preserve">3. Data and methods</w:t>
      </w:r>
    </w:p>
    <w:bookmarkStart w:id="34"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mm, typically occurring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 of the two forest plots are 0.51 and 0.29 and the winter leaf area indices are 2.07 and 1.66 for PWL and FT respectively. The average height of the canopy within the PWL plot is 10.5 m and within the FT plot is 7.1 m.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940"/>
              <w:jc w:val="center"/>
            </w:pPr>
            <w:r>
              <w:drawing>
                <wp:inline>
                  <wp:extent cx="5943600" cy="5943600"/>
                  <wp:effectExtent b="0" l="0" r="0" t="0"/>
                  <wp:docPr descr="" title="" id="31" name="Picture"/>
                  <a:graphic>
                    <a:graphicData uri="http://schemas.openxmlformats.org/drawingml/2006/picture">
                      <pic:pic>
                        <pic:nvPicPr>
                          <pic:cNvPr descr="figs/maps/site_map_inset.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3"/>
        </w:tc>
      </w:tr>
    </w:tbl>
    <w:bookmarkEnd w:id="34"/>
    <w:bookmarkStart w:id="35"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887"/>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877"/>
      </w:pPr>
      <w:r>
        <w:t xml:space="preserve">3.3 Lysimeter measurements</w:t>
      </w:r>
    </w:p>
    <w:p>
      <w:pPr>
        <w:pStyle w:val="939"/>
      </w:pPr>
      <w:r>
        <w:t xml:space="preserve">Three subcanopy lysimeters (SCLs) were installed surrounding the FT Station (</w:t>
      </w:r>
      <w:hyperlink w:anchor="fig-site-map">
        <w:r>
          <w:rPr>
            <w:rStyle w:val="894"/>
          </w:rPr>
          <w:t xml:space="preserve">Figure 1</w:t>
        </w:r>
      </w:hyperlink>
      <w:r>
        <w:t xml:space="preserve">) to provide measurements of throughfall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snow captured in the SCLs was determined to be predominantly from throughfall.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SCL measured throughfall rate. While these careful manual mitigation and automated filtering strategies substantially reduce the contribution of unloading in the SCL throughfall measurements, a small contribution is still possible.</w:t>
      </w:r>
    </w:p>
    <w:p>
      <w:pPr>
        <w:pStyle w:val="887"/>
      </w:pPr>
      <w:r>
        <w:t xml:space="preserve">The SCL throughfall measurements were converted from weight, to weight per unit area by dividing the snow weight in the SCL by the cross-sectional area of the SCL opening. Canopy snow load was also estimated using</w:t>
      </w:r>
      <w:r>
        <w:t xml:space="preserve"> </w:t>
      </w:r>
      <w:hyperlink w:anchor="eq-canopy-mass-bal">
        <w:r>
          <w:rPr>
            <w:rStyle w:val="894"/>
          </w:rPr>
          <w:t xml:space="preserve">Equation 1</w:t>
        </w:r>
      </w:hyperlink>
      <w:r>
        <w:t xml:space="preserve">, incorporating throughfall measurements from the SCLs and snowfall measurements from the PWL gauge. The manufacturer-specified combined error of full scale output for the load cells is +/- 0.02% with a temperature sensitivity of +/- 0.001%/5°C. The small amount of snow captured in the SCLs and Pluvio instruments over the 15-minute intervals led to very high relative instrument errors. To reduce this error, throughfall and snowfall measurements were accumulated. While suitable instrument errors were found for longer time intervals (greater than 12 hours), at these intervals, the relationship between interception efficiency and meteorological measurements became non-stationary. Therefore, to ensure consistency between throughfall and snowfall measurements and meteorological conditions, air temperature, wind speed, and initial canopy snow load (measured from the weighed tree) were binned. Snowfall and throughfall measurements were then accumulated within each bin. Interception efficiency was subsequently calculated for each bin using</w:t>
      </w:r>
      <w:r>
        <w:t xml:space="preserve"> </w:t>
      </w:r>
      <w:hyperlink w:anchor="eq-ip2">
        <w:r>
          <w:rPr>
            <w:rStyle w:val="894"/>
          </w:rPr>
          <w:t xml:space="preserve">Equation 3</w:t>
        </w:r>
      </w:hyperlink>
      <w:r>
        <w:t xml:space="preserve"> </w:t>
      </w:r>
      <w:r>
        <w:t xml:space="preserve">and the accumulated measurements of snowfall and throughfall.</w:t>
      </w:r>
    </w:p>
    <w:p>
      <w:pPr>
        <w:pStyle w:val="887"/>
      </w:pPr>
      <w:r>
        <w:t xml:space="preserve">The SCLs were installed in locations selected to limit preferential throughfall and unloading by choosing locations with relatively continuous spatial distribution of canopy elements (i.e., canopy structure) and away from large branches which could preferentially unload snow. The</w:t>
      </w:r>
      <w:r>
        <w:t xml:space="preserve"> </w:t>
      </w:r>
      <w:r>
        <w:t xml:space="preserve">“</w:t>
      </w:r>
      <w:r>
        <w:t xml:space="preserve">mixed</w:t>
      </w:r>
      <w:r>
        <w:t xml:space="preserve">”</w:t>
      </w:r>
      <w:r>
        <w:t xml:space="preserve"> </w:t>
      </w:r>
      <w:r>
        <w:t xml:space="preserve">canopy SCL had a slight canopy opening, shown in</w:t>
      </w:r>
      <w:r>
        <w:t xml:space="preserve"> </w:t>
      </w:r>
      <w:hyperlink w:anchor="fig-scl-imgs">
        <w:r>
          <w:rPr>
            <w:rStyle w:val="894"/>
          </w:rPr>
          <w:t xml:space="preserve">Figure 2</w:t>
        </w:r>
      </w:hyperlink>
      <w:r>
        <w:t xml:space="preserve">, orientated towards the prevailing wind direction observed during the study period which allowed some preferential measurement of throughfall for snowfall trajectories aligned with this gap. The canopy surrounding the SCLs led to reduced wind speeds and reduced the potential for gauge undercatch by the SCLs. Photographs of the three SCLs and surrounding canopy are shown in</w:t>
      </w:r>
      <w:r>
        <w:t xml:space="preserve"> </w:t>
      </w:r>
      <w:hyperlink w:anchor="fig-scl-imgs">
        <w:r>
          <w:rPr>
            <w:rStyle w:val="894"/>
          </w:rPr>
          <w:t xml:space="preserve">Figure 2</w:t>
        </w:r>
      </w:hyperlink>
      <w:r>
        <w:t xml:space="preserve">. Leaf area index and canopy closure measurements of canopy density for each SCL are presented in</w:t>
      </w:r>
      <w:r>
        <w:t xml:space="preserve"> </w:t>
      </w:r>
      <w:hyperlink w:anchor="tbl-scl-lai-cc">
        <w:r>
          <w:rPr>
            <w:rStyle w:val="894"/>
          </w:rPr>
          <w:t xml:space="preserve">Table 1</w:t>
        </w:r>
      </w:hyperlink>
      <w:r>
        <w:t xml:space="preserve">. A viewing angle of 60° from zenith was selected to describe the SCLs in the results section as non vertical hydrometeor trajectory angles were expected to influence the measurements at these locations. The canopy density metrics were measured using hemispherical photography (Nikon Coolpix 4500 and EC-F8 hemispherical lens) and analyzed with the hemispheR R package</w:t>
      </w:r>
      <w:r>
        <w:t xml:space="preserve"> </w:t>
      </w:r>
      <w:r>
        <w:t xml:space="preserve">Chianucci &amp; Macek (2023)</w:t>
      </w:r>
      <w:r>
        <w:t xml:space="preserve">.</w:t>
      </w:r>
    </w:p>
    <w:p>
      <w:pPr>
        <w:pStyle w:val="887"/>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in</w:t>
      </w:r>
      <w:r>
        <w:t xml:space="preserve"> </w:t>
      </w:r>
      <w:r>
        <w:t xml:space="preserve">Pomeroy &amp; Schmidt (1993)</w:t>
      </w:r>
      <w:r>
        <w:t xml:space="preserve">. Although the weighed tree lysimeter provides a more direct measurement of canopy snow load compared to the SCLs, it was not used in the interception efficiency calculation as variations in the trees mass may be attributed to canopy snow sublimation, unloading and melt. Since the subcanopy lysimeter estimates of canopy snow load are not influenced by sublimation, they provided a measurement of interception efficiency with less uncertainty.</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Canopy density of the three subcanopy lysimeters (SCL) located proximal to the FT Station. Leaf area index (LAI) and canopy closure was measured using hemispherical photo analysis for varying viewing angles from zenith.</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940"/>
                    <w:jc w:val="left"/>
                    <w:jc w:val="center"/>
                  </w:pPr>
                  <w:r>
                    <w:t xml:space="preserve">Name</w:t>
                  </w:r>
                </w:p>
              </w:tc>
              <w:tc>
                <w:tcPr/>
                <w:p>
                  <w:pPr>
                    <w:pStyle w:val="940"/>
                    <w:jc w:val="right"/>
                    <w:jc w:val="center"/>
                  </w:pPr>
                  <w:r>
                    <w:t xml:space="preserve">Angle From Zenith (°)</w:t>
                  </w:r>
                </w:p>
              </w:tc>
              <w:tc>
                <w:tcPr/>
                <w:p>
                  <w:pPr>
                    <w:pStyle w:val="940"/>
                    <w:jc w:val="right"/>
                    <w:jc w:val="center"/>
                  </w:pPr>
                  <w:r>
                    <w:t xml:space="preserve">LAI (-)</w:t>
                  </w:r>
                </w:p>
              </w:tc>
              <w:tc>
                <w:tcPr/>
                <w:p>
                  <w:pPr>
                    <w:pStyle w:val="940"/>
                    <w:jc w:val="right"/>
                    <w:jc w:val="center"/>
                  </w:pPr>
                  <w:r>
                    <w:t xml:space="preserve">Canopy Closure (-)</w:t>
                  </w:r>
                </w:p>
              </w:tc>
            </w:tr>
            <w:tr>
              <w:tc>
                <w:tcPr/>
                <w:p>
                  <w:pPr>
                    <w:pStyle w:val="940"/>
                    <w:jc w:val="left"/>
                    <w:jc w:val="center"/>
                  </w:pPr>
                  <w:r>
                    <w:t xml:space="preserve">Sparse</w:t>
                  </w:r>
                </w:p>
              </w:tc>
              <w:tc>
                <w:tcPr/>
                <w:p>
                  <w:pPr>
                    <w:pStyle w:val="940"/>
                    <w:jc w:val="right"/>
                    <w:jc w:val="center"/>
                  </w:pPr>
                  <w:r>
                    <w:t xml:space="preserve">15</w:t>
                  </w:r>
                </w:p>
              </w:tc>
              <w:tc>
                <w:tcPr/>
                <w:p>
                  <w:pPr>
                    <w:pStyle w:val="940"/>
                    <w:jc w:val="right"/>
                    <w:jc w:val="center"/>
                  </w:pPr>
                  <w:r>
                    <w:t xml:space="preserve">0.45</w:t>
                  </w:r>
                </w:p>
              </w:tc>
              <w:tc>
                <w:tcPr/>
                <w:p>
                  <w:pPr>
                    <w:pStyle w:val="940"/>
                    <w:jc w:val="right"/>
                    <w:jc w:val="center"/>
                  </w:pPr>
                  <w:r>
                    <w:t xml:space="preserve">0.19</w:t>
                  </w:r>
                </w:p>
              </w:tc>
            </w:tr>
            <w:tr>
              <w:tc>
                <w:tcPr/>
                <w:p>
                  <w:pPr>
                    <w:pStyle w:val="940"/>
                    <w:jc w:val="left"/>
                    <w:jc w:val="center"/>
                  </w:pPr>
                  <w:r>
                    <w:t xml:space="preserve">Sparse</w:t>
                  </w:r>
                </w:p>
              </w:tc>
              <w:tc>
                <w:tcPr/>
                <w:p>
                  <w:pPr>
                    <w:pStyle w:val="940"/>
                    <w:jc w:val="right"/>
                    <w:jc w:val="center"/>
                  </w:pPr>
                  <w:r>
                    <w:t xml:space="preserve">30</w:t>
                  </w:r>
                </w:p>
              </w:tc>
              <w:tc>
                <w:tcPr/>
                <w:p>
                  <w:pPr>
                    <w:pStyle w:val="940"/>
                    <w:jc w:val="right"/>
                    <w:jc w:val="center"/>
                  </w:pPr>
                  <w:r>
                    <w:t xml:space="preserve">1.12</w:t>
                  </w:r>
                </w:p>
              </w:tc>
              <w:tc>
                <w:tcPr/>
                <w:p>
                  <w:pPr>
                    <w:pStyle w:val="940"/>
                    <w:jc w:val="right"/>
                    <w:jc w:val="center"/>
                  </w:pPr>
                  <w:r>
                    <w:t xml:space="preserve">0.44</w:t>
                  </w:r>
                </w:p>
              </w:tc>
            </w:tr>
            <w:tr>
              <w:tc>
                <w:tcPr/>
                <w:p>
                  <w:pPr>
                    <w:pStyle w:val="940"/>
                    <w:jc w:val="left"/>
                    <w:jc w:val="center"/>
                  </w:pPr>
                  <w:r>
                    <w:t xml:space="preserve">Closed</w:t>
                  </w:r>
                </w:p>
              </w:tc>
              <w:tc>
                <w:tcPr/>
                <w:p>
                  <w:pPr>
                    <w:pStyle w:val="940"/>
                    <w:jc w:val="right"/>
                    <w:jc w:val="center"/>
                  </w:pPr>
                  <w:r>
                    <w:t xml:space="preserve">15</w:t>
                  </w:r>
                </w:p>
              </w:tc>
              <w:tc>
                <w:tcPr/>
                <w:p>
                  <w:pPr>
                    <w:pStyle w:val="940"/>
                    <w:jc w:val="right"/>
                    <w:jc w:val="center"/>
                  </w:pPr>
                  <w:r>
                    <w:t xml:space="preserve">1.58</w:t>
                  </w:r>
                </w:p>
              </w:tc>
              <w:tc>
                <w:tcPr/>
                <w:p>
                  <w:pPr>
                    <w:pStyle w:val="940"/>
                    <w:jc w:val="right"/>
                    <w:jc w:val="center"/>
                  </w:pPr>
                  <w:r>
                    <w:t xml:space="preserve">0.54</w:t>
                  </w:r>
                </w:p>
              </w:tc>
            </w:tr>
            <w:tr>
              <w:tc>
                <w:tcPr/>
                <w:p>
                  <w:pPr>
                    <w:pStyle w:val="940"/>
                    <w:jc w:val="left"/>
                    <w:jc w:val="center"/>
                  </w:pPr>
                  <w:r>
                    <w:t xml:space="preserve">Sparse</w:t>
                  </w:r>
                </w:p>
              </w:tc>
              <w:tc>
                <w:tcPr/>
                <w:p>
                  <w:pPr>
                    <w:pStyle w:val="940"/>
                    <w:jc w:val="right"/>
                    <w:jc w:val="center"/>
                  </w:pPr>
                  <w:r>
                    <w:t xml:space="preserve">45</w:t>
                  </w:r>
                </w:p>
              </w:tc>
              <w:tc>
                <w:tcPr/>
                <w:p>
                  <w:pPr>
                    <w:pStyle w:val="940"/>
                    <w:jc w:val="right"/>
                    <w:jc w:val="center"/>
                  </w:pPr>
                  <w:r>
                    <w:t xml:space="preserve">1.43</w:t>
                  </w:r>
                </w:p>
              </w:tc>
              <w:tc>
                <w:tcPr/>
                <w:p>
                  <w:pPr>
                    <w:pStyle w:val="940"/>
                    <w:jc w:val="right"/>
                    <w:jc w:val="center"/>
                  </w:pPr>
                  <w:r>
                    <w:t xml:space="preserve">0.56</w:t>
                  </w:r>
                </w:p>
              </w:tc>
            </w:tr>
            <w:tr>
              <w:tc>
                <w:tcPr/>
                <w:p>
                  <w:pPr>
                    <w:pStyle w:val="940"/>
                    <w:jc w:val="left"/>
                    <w:jc w:val="center"/>
                  </w:pPr>
                  <w:r>
                    <w:t xml:space="preserve">Mixed</w:t>
                  </w:r>
                </w:p>
              </w:tc>
              <w:tc>
                <w:tcPr/>
                <w:p>
                  <w:pPr>
                    <w:pStyle w:val="940"/>
                    <w:jc w:val="right"/>
                    <w:jc w:val="center"/>
                  </w:pPr>
                  <w:r>
                    <w:t xml:space="preserve">15</w:t>
                  </w:r>
                </w:p>
              </w:tc>
              <w:tc>
                <w:tcPr/>
                <w:p>
                  <w:pPr>
                    <w:pStyle w:val="940"/>
                    <w:jc w:val="right"/>
                    <w:jc w:val="center"/>
                  </w:pPr>
                  <w:r>
                    <w:t xml:space="preserve">2.00</w:t>
                  </w:r>
                </w:p>
              </w:tc>
              <w:tc>
                <w:tcPr/>
                <w:p>
                  <w:pPr>
                    <w:pStyle w:val="940"/>
                    <w:jc w:val="right"/>
                    <w:jc w:val="center"/>
                  </w:pPr>
                  <w:r>
                    <w:t xml:space="preserve">0.63</w:t>
                  </w:r>
                </w:p>
              </w:tc>
            </w:tr>
            <w:tr>
              <w:tc>
                <w:tcPr/>
                <w:p>
                  <w:pPr>
                    <w:pStyle w:val="940"/>
                    <w:jc w:val="left"/>
                    <w:jc w:val="center"/>
                  </w:pPr>
                  <w:r>
                    <w:t xml:space="preserve">Sparse</w:t>
                  </w:r>
                </w:p>
              </w:tc>
              <w:tc>
                <w:tcPr/>
                <w:p>
                  <w:pPr>
                    <w:pStyle w:val="940"/>
                    <w:jc w:val="right"/>
                    <w:jc w:val="center"/>
                  </w:pPr>
                  <w:r>
                    <w:t xml:space="preserve">60</w:t>
                  </w:r>
                </w:p>
              </w:tc>
              <w:tc>
                <w:tcPr/>
                <w:p>
                  <w:pPr>
                    <w:pStyle w:val="940"/>
                    <w:jc w:val="right"/>
                    <w:jc w:val="center"/>
                  </w:pPr>
                  <w:r>
                    <w:t xml:space="preserve">1.56</w:t>
                  </w:r>
                </w:p>
              </w:tc>
              <w:tc>
                <w:tcPr/>
                <w:p>
                  <w:pPr>
                    <w:pStyle w:val="940"/>
                    <w:jc w:val="right"/>
                    <w:jc w:val="center"/>
                  </w:pPr>
                  <w:r>
                    <w:t xml:space="preserve">0.64</w:t>
                  </w:r>
                </w:p>
              </w:tc>
            </w:tr>
            <w:tr>
              <w:tc>
                <w:tcPr/>
                <w:p>
                  <w:pPr>
                    <w:pStyle w:val="940"/>
                    <w:jc w:val="left"/>
                    <w:jc w:val="center"/>
                  </w:pPr>
                  <w:r>
                    <w:t xml:space="preserve">Closed</w:t>
                  </w:r>
                </w:p>
              </w:tc>
              <w:tc>
                <w:tcPr/>
                <w:p>
                  <w:pPr>
                    <w:pStyle w:val="940"/>
                    <w:jc w:val="right"/>
                    <w:jc w:val="center"/>
                  </w:pPr>
                  <w:r>
                    <w:t xml:space="preserve">30</w:t>
                  </w:r>
                </w:p>
              </w:tc>
              <w:tc>
                <w:tcPr/>
                <w:p>
                  <w:pPr>
                    <w:pStyle w:val="940"/>
                    <w:jc w:val="right"/>
                    <w:jc w:val="center"/>
                  </w:pPr>
                  <w:r>
                    <w:t xml:space="preserve">2.01</w:t>
                  </w:r>
                </w:p>
              </w:tc>
              <w:tc>
                <w:tcPr/>
                <w:p>
                  <w:pPr>
                    <w:pStyle w:val="940"/>
                    <w:jc w:val="right"/>
                    <w:jc w:val="center"/>
                  </w:pPr>
                  <w:r>
                    <w:t xml:space="preserve">0.65</w:t>
                  </w:r>
                </w:p>
              </w:tc>
            </w:tr>
            <w:tr>
              <w:tc>
                <w:tcPr/>
                <w:p>
                  <w:pPr>
                    <w:pStyle w:val="940"/>
                    <w:jc w:val="left"/>
                    <w:jc w:val="center"/>
                  </w:pPr>
                  <w:r>
                    <w:t xml:space="preserve">Mixed</w:t>
                  </w:r>
                </w:p>
              </w:tc>
              <w:tc>
                <w:tcPr/>
                <w:p>
                  <w:pPr>
                    <w:pStyle w:val="940"/>
                    <w:jc w:val="right"/>
                    <w:jc w:val="center"/>
                  </w:pPr>
                  <w:r>
                    <w:t xml:space="preserve">30</w:t>
                  </w:r>
                </w:p>
              </w:tc>
              <w:tc>
                <w:tcPr/>
                <w:p>
                  <w:pPr>
                    <w:pStyle w:val="940"/>
                    <w:jc w:val="right"/>
                    <w:jc w:val="center"/>
                  </w:pPr>
                  <w:r>
                    <w:t xml:space="preserve">2.34</w:t>
                  </w:r>
                </w:p>
              </w:tc>
              <w:tc>
                <w:tcPr/>
                <w:p>
                  <w:pPr>
                    <w:pStyle w:val="940"/>
                    <w:jc w:val="right"/>
                    <w:jc w:val="center"/>
                  </w:pPr>
                  <w:r>
                    <w:t xml:space="preserve">0.71</w:t>
                  </w:r>
                </w:p>
              </w:tc>
            </w:tr>
            <w:tr>
              <w:tc>
                <w:tcPr/>
                <w:p>
                  <w:pPr>
                    <w:pStyle w:val="940"/>
                    <w:jc w:val="left"/>
                    <w:jc w:val="center"/>
                  </w:pPr>
                  <w:r>
                    <w:t xml:space="preserve">Mixed</w:t>
                  </w:r>
                </w:p>
              </w:tc>
              <w:tc>
                <w:tcPr/>
                <w:p>
                  <w:pPr>
                    <w:pStyle w:val="940"/>
                    <w:jc w:val="right"/>
                    <w:jc w:val="center"/>
                  </w:pPr>
                  <w:r>
                    <w:t xml:space="preserve">45</w:t>
                  </w:r>
                </w:p>
              </w:tc>
              <w:tc>
                <w:tcPr/>
                <w:p>
                  <w:pPr>
                    <w:pStyle w:val="940"/>
                    <w:jc w:val="right"/>
                    <w:jc w:val="center"/>
                  </w:pPr>
                  <w:r>
                    <w:t xml:space="preserve">2.33</w:t>
                  </w:r>
                </w:p>
              </w:tc>
              <w:tc>
                <w:tcPr/>
                <w:p>
                  <w:pPr>
                    <w:pStyle w:val="940"/>
                    <w:jc w:val="right"/>
                    <w:jc w:val="center"/>
                  </w:pPr>
                  <w:r>
                    <w:t xml:space="preserve">0.74</w:t>
                  </w:r>
                </w:p>
              </w:tc>
            </w:tr>
            <w:tr>
              <w:tc>
                <w:tcPr/>
                <w:p>
                  <w:pPr>
                    <w:pStyle w:val="940"/>
                    <w:jc w:val="left"/>
                    <w:jc w:val="center"/>
                  </w:pPr>
                  <w:r>
                    <w:t xml:space="preserve">Mixed</w:t>
                  </w:r>
                </w:p>
              </w:tc>
              <w:tc>
                <w:tcPr/>
                <w:p>
                  <w:pPr>
                    <w:pStyle w:val="940"/>
                    <w:jc w:val="right"/>
                    <w:jc w:val="center"/>
                  </w:pPr>
                  <w:r>
                    <w:t xml:space="preserve">60</w:t>
                  </w:r>
                </w:p>
              </w:tc>
              <w:tc>
                <w:tcPr/>
                <w:p>
                  <w:pPr>
                    <w:pStyle w:val="940"/>
                    <w:jc w:val="right"/>
                    <w:jc w:val="center"/>
                  </w:pPr>
                  <w:r>
                    <w:t xml:space="preserve">2.10</w:t>
                  </w:r>
                </w:p>
              </w:tc>
              <w:tc>
                <w:tcPr/>
                <w:p>
                  <w:pPr>
                    <w:pStyle w:val="940"/>
                    <w:jc w:val="right"/>
                    <w:jc w:val="center"/>
                  </w:pPr>
                  <w:r>
                    <w:t xml:space="preserve">0.75</w:t>
                  </w:r>
                </w:p>
              </w:tc>
            </w:tr>
            <w:tr>
              <w:tc>
                <w:tcPr/>
                <w:p>
                  <w:pPr>
                    <w:pStyle w:val="940"/>
                    <w:jc w:val="left"/>
                    <w:jc w:val="center"/>
                  </w:pPr>
                  <w:r>
                    <w:t xml:space="preserve">Closed</w:t>
                  </w:r>
                </w:p>
              </w:tc>
              <w:tc>
                <w:tcPr/>
                <w:p>
                  <w:pPr>
                    <w:pStyle w:val="940"/>
                    <w:jc w:val="right"/>
                    <w:jc w:val="center"/>
                  </w:pPr>
                  <w:r>
                    <w:t xml:space="preserve">45</w:t>
                  </w:r>
                </w:p>
              </w:tc>
              <w:tc>
                <w:tcPr/>
                <w:p>
                  <w:pPr>
                    <w:pStyle w:val="940"/>
                    <w:jc w:val="right"/>
                    <w:jc w:val="center"/>
                  </w:pPr>
                  <w:r>
                    <w:t xml:space="preserve">2.47</w:t>
                  </w:r>
                </w:p>
              </w:tc>
              <w:tc>
                <w:tcPr/>
                <w:p>
                  <w:pPr>
                    <w:pStyle w:val="940"/>
                    <w:jc w:val="right"/>
                    <w:jc w:val="center"/>
                  </w:pPr>
                  <w:r>
                    <w:t xml:space="preserve">0.76</w:t>
                  </w:r>
                </w:p>
              </w:tc>
            </w:tr>
            <w:tr>
              <w:tc>
                <w:tcPr/>
                <w:p>
                  <w:pPr>
                    <w:pStyle w:val="940"/>
                    <w:jc w:val="left"/>
                    <w:jc w:val="center"/>
                  </w:pPr>
                  <w:r>
                    <w:t xml:space="preserve">Closed</w:t>
                  </w:r>
                </w:p>
              </w:tc>
              <w:tc>
                <w:tcPr/>
                <w:p>
                  <w:pPr>
                    <w:pStyle w:val="940"/>
                    <w:jc w:val="right"/>
                    <w:jc w:val="center"/>
                  </w:pPr>
                  <w:r>
                    <w:t xml:space="preserve">60</w:t>
                  </w:r>
                </w:p>
              </w:tc>
              <w:tc>
                <w:tcPr/>
                <w:p>
                  <w:pPr>
                    <w:pStyle w:val="940"/>
                    <w:jc w:val="right"/>
                    <w:jc w:val="center"/>
                  </w:pPr>
                  <w:r>
                    <w:t xml:space="preserve">2.40</w:t>
                  </w:r>
                </w:p>
              </w:tc>
              <w:tc>
                <w:tcPr/>
                <w:p>
                  <w:pPr>
                    <w:pStyle w:val="940"/>
                    <w:jc w:val="right"/>
                    <w:jc w:val="center"/>
                  </w:pPr>
                  <w:r>
                    <w:t xml:space="preserve">0.79</w:t>
                  </w:r>
                </w:p>
              </w:tc>
            </w:tr>
          </w:tbl>
          <w:bookmarkEnd w:id="36"/>
          <w:p/>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940"/>
              <w:jc w:val="center"/>
            </w:pPr>
            <w:r>
              <w:drawing>
                <wp:inline>
                  <wp:extent cx="5943600" cy="3720133"/>
                  <wp:effectExtent b="0" l="0" r="0" t="0"/>
                  <wp:docPr descr="" title="" id="38" name="Picture"/>
                  <a:graphic>
                    <a:graphicData uri="http://schemas.openxmlformats.org/drawingml/2006/picture">
                      <pic:pic>
                        <pic:nvPicPr>
                          <pic:cNvPr descr="figs/site-photos/scl_w_fisheye_textnew.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mirrored to provide a view from above (e.g., east is on the right side of each image). See</w:t>
            </w:r>
            <w:r>
              <w:t xml:space="preserve"> </w:t>
            </w:r>
            <w:hyperlink w:anchor="tbl-scl-lai-cc">
              <w:r>
                <w:rPr>
                  <w:rStyle w:val="894"/>
                </w:rPr>
                <w:t xml:space="preserve">Table 1</w:t>
              </w:r>
            </w:hyperlink>
            <w:r>
              <w:t xml:space="preserve"> </w:t>
            </w:r>
            <w:r>
              <w:t xml:space="preserve">for the canopy density measurements above each SCL.</w:t>
            </w:r>
          </w:p>
          <w:bookmarkEnd w:id="40"/>
        </w:tc>
      </w:tr>
    </w:tbl>
    <w:bookmarkEnd w:id="41"/>
    <w:bookmarkStart w:id="42" w:name="uav-lidar-data-collection-and-processing"/>
    <w:p>
      <w:pPr>
        <w:pStyle w:val="877"/>
      </w:pPr>
      <w:r>
        <w:t xml:space="preserve">3.4 UAV-Lidar data collection and processing</w:t>
      </w:r>
    </w:p>
    <w:p>
      <w:pPr>
        <w:pStyle w:val="939"/>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877"/>
      </w:pPr>
      <w:r>
        <w:t xml:space="preserve">3.5 Snow surveys</w:t>
      </w:r>
    </w:p>
    <w:bookmarkStart w:id="44" w:name="in-situ-snow-depth-and-density"/>
    <w:p>
      <w:pPr>
        <w:pStyle w:val="878"/>
      </w:pPr>
      <w:r>
        <w:t xml:space="preserve">3.5.1 In-situ snow depth and density</w:t>
      </w:r>
    </w:p>
    <w:p>
      <w:pPr>
        <w:pStyle w:val="939"/>
      </w:pPr>
      <w:r>
        <w:t xml:space="preserve">Event-based snow surveys provided measurements of subcanopy throughfall depth and density at 30 locations following the transects shown in</w:t>
      </w:r>
      <w:r>
        <w:t xml:space="preserve"> </w:t>
      </w:r>
      <w:hyperlink w:anchor="fig-site-map">
        <w:r>
          <w:rPr>
            <w:rStyle w:val="894"/>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939"/>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4"/>
    <w:bookmarkStart w:id="45" w:name="uav-lidar-snow-depth"/>
    <w:p>
      <w:pPr>
        <w:pStyle w:val="878"/>
      </w:pPr>
      <w:r>
        <w:t xml:space="preserve">3.5.2 UAV-Lidar snow depth</w:t>
      </w:r>
    </w:p>
    <w:p>
      <w:pPr>
        <w:pStyle w:val="939"/>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SCLs,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894"/>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894"/>
          </w:rPr>
          <w:t xml:space="preserve">Equation 3</w:t>
        </w:r>
      </w:hyperlink>
      <w:r>
        <w:t xml:space="preserve"> </w:t>
      </w:r>
      <w:r>
        <w:t xml:space="preserve">by using</w:t>
      </w:r>
      <w:r>
        <w:t xml:space="preserve"> </w:t>
      </w:r>
      <m:oMath>
        <m:r>
          <m:t>Δ</m:t>
        </m:r>
        <m:r>
          <m:t>S</m:t>
        </m:r>
        <m:r>
          <m:t>W</m:t>
        </m:r>
        <m:sSub>
          <m:e>
            <m:r>
              <m:t>E</m:t>
            </m:r>
          </m:e>
          <m:sub>
            <m:r>
              <m:t>t</m:t>
            </m:r>
            <m:r>
              <m:t>f</m:t>
            </m:r>
          </m:sub>
        </m:sSub>
      </m:oMath>
      <w:r>
        <w:t xml:space="preserve"> </w:t>
      </w:r>
      <w:r>
        <w:t xml:space="preserve">as the throughfall component (</w:t>
      </w:r>
      <m:oMath>
        <m:sSub>
          <m:e>
            <m:r>
              <m:t>q</m:t>
            </m:r>
          </m:e>
          <m:sub>
            <m:r>
              <m:t>t</m:t>
            </m:r>
            <m:r>
              <m:t>f</m:t>
            </m:r>
          </m:sub>
        </m:sSub>
        <m:r>
          <m:t>Δ</m:t>
        </m:r>
        <m:r>
          <m:t>t</m:t>
        </m:r>
      </m:oMath>
      <w:r>
        <w:t xml:space="preserve">) and the snowfall accumulation to the open (</w:t>
      </w:r>
      <m:oMath>
        <m:sSub>
          <m:e>
            <m:r>
              <m:t>q</m:t>
            </m:r>
          </m:e>
          <m:sub>
            <m:r>
              <m:t>s</m:t>
            </m:r>
            <m:r>
              <m:t>f</m:t>
            </m:r>
          </m:sub>
        </m:sSub>
        <m:r>
          <m:t>Δ</m:t>
        </m:r>
        <m:r>
          <m:t>t</m:t>
        </m:r>
      </m:oMath>
      <w:r>
        <w:t xml:space="preserve">) measured between the two lidar surveys at PWL station.</w:t>
      </w:r>
    </w:p>
    <w:bookmarkEnd w:id="45"/>
    <w:bookmarkEnd w:id="46"/>
    <w:bookmarkStart w:id="49" w:name="uav-lidar-canopy-metrics"/>
    <w:p>
      <w:pPr>
        <w:pStyle w:val="877"/>
      </w:pPr>
      <w:r>
        <w:t xml:space="preserve">3.6 UAV-Lidar canopy metrics</w:t>
      </w:r>
    </w:p>
    <w:p>
      <w:pPr>
        <w:pStyle w:val="939"/>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887"/>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7"/>
    </w:p>
    <w:p>
      <w:pPr>
        <w:pStyle w:val="939"/>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939"/>
      </w:pPr>
      <w:r>
        <w:t xml:space="preserve">where</w:t>
      </w:r>
      <w:r>
        <w:t xml:space="preserve"> </w:t>
      </w:r>
      <m:oMath>
        <m:sSub>
          <m:e>
            <m:r>
              <m:t>C</m:t>
            </m:r>
          </m:e>
          <m:sub>
            <m:r>
              <m:t>p</m:t>
            </m:r>
          </m:sub>
        </m:sSub>
      </m:oMath>
      <w:r>
        <w:t xml:space="preserve"> </w:t>
      </w:r>
      <w:r>
        <w:t xml:space="preserve">is a function of the canopy cover</w:t>
      </w:r>
      <w:r>
        <w:t xml:space="preserve"> </w:t>
      </w:r>
      <m:oMath>
        <m:sSub>
          <m:e>
            <m:r>
              <m:t>C</m:t>
            </m:r>
          </m:e>
          <m:sub>
            <m:r>
              <m:t>c</m:t>
            </m:r>
          </m:sub>
        </m:sSub>
      </m:oMath>
      <w:r>
        <w:t xml:space="preserve">, hydrometeor trajectory angle (</w:t>
      </w:r>
      <m:oMath>
        <m:sSub>
          <m:e>
            <m:r>
              <m:t>θ</m:t>
            </m:r>
          </m:e>
          <m:sub>
            <m:r>
              <m:t>h</m:t>
            </m:r>
          </m:sub>
        </m:sSub>
      </m:oMath>
      <w:r>
        <w:t xml:space="preserve">), and canopy snow load (</w:t>
      </w:r>
      <m:oMath>
        <m:r>
          <m:t>L</m:t>
        </m:r>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887"/>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t>
      </w:r>
      <m:oMath>
        <m:sSub>
          <m:e>
            <m:r>
              <m:t>ρ</m:t>
            </m:r>
          </m:e>
          <m:sub>
            <m:r>
              <m:t>p</m:t>
            </m:r>
          </m:sub>
        </m:sSub>
      </m:oMath>
      <w:r>
        <w:t xml:space="preserve">) was used. The</w:t>
      </w:r>
      <w:r>
        <w:t xml:space="preserve"> </w:t>
      </w:r>
      <m:oMath>
        <m:sSub>
          <m:e>
            <m:r>
              <m:t>ρ</m:t>
            </m:r>
          </m:e>
          <m:sub>
            <m:r>
              <m:t>p</m:t>
            </m:r>
          </m:sub>
        </m:sSub>
      </m:oMath>
      <w:r>
        <w:t xml:space="preserve"> </w:t>
      </w:r>
      <w:r>
        <w:t xml:space="preserve">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bookmarkEnd w:id="49"/>
    <w:bookmarkStart w:id="50" w:name="statistics-and-regression-models"/>
    <w:p>
      <w:pPr>
        <w:pStyle w:val="877"/>
      </w:pPr>
      <w:r>
        <w:t xml:space="preserve">3.7 Statistics and regression models</w:t>
      </w:r>
    </w:p>
    <w:p>
      <w:pPr>
        <w:pStyle w:val="939"/>
      </w:pPr>
      <w:r>
        <w:t xml:space="preserve">Linear and non-linear regression models were developed to assess relationships in the observed data. Linear models were fitted using ordinary least squares regression 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to investigate the relationship of leaf contact area with simulated trajectory angle using non-linear least squares regression. All statistical analyses were conducted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50"/>
    <w:bookmarkEnd w:id="51"/>
    <w:bookmarkStart w:id="100" w:name="results"/>
    <w:p>
      <w:pPr>
        <w:pStyle w:val="876"/>
      </w:pPr>
      <w:r>
        <w:t xml:space="preserve">4. Results</w:t>
      </w:r>
    </w:p>
    <w:bookmarkStart w:id="65"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shows that canopy snow load increases linearly with cumulative snowfall, with no evidence of reaching a maximum, across 26 snowfall events for both the SCL and weighed tree measurements.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894"/>
          </w:rPr>
          <w:t xml:space="preserve">Table 2</w:t>
        </w:r>
      </w:hyperlink>
      <w:r>
        <w:t xml:space="preserve">), and wind direction was predominately from the southwest during snowfall (</w:t>
      </w:r>
      <w:hyperlink w:anchor="fig-wind-rose">
        <w:r>
          <w:rPr>
            <w:rStyle w:val="894"/>
          </w:rPr>
          <w:t xml:space="preserve">Figure 4</w:t>
        </w:r>
      </w:hyperlink>
      <w:r>
        <w:t xml:space="preserve">). Missing canopy snow load measurements, as shown in</w:t>
      </w:r>
      <w:r>
        <w:t xml:space="preserve"> </w:t>
      </w:r>
      <w:hyperlink w:anchor="fig-scl-w-sf">
        <w:r>
          <w:rPr>
            <w:rStyle w:val="894"/>
          </w:rPr>
          <w:t xml:space="preserve">Figure 3</w:t>
        </w:r>
      </w:hyperlink>
      <w:r>
        <w:t xml:space="preserve"> </w:t>
      </w:r>
      <w:r>
        <w:t xml:space="preserve">for certain events, were caused by wiring damage from animals and heavy snow loads. Some of the the variability in interception rates within and between different events may be attributed to small amounts of canopy snow unloading and melt, which could not be fully accounted for through the manual and automated filtering mitigation strategies for in both the SCL and weighed tree measurements. Additionally, the weighed tree lysimeter was influenced by canopy snow sublimation, which was not directly accounted for in our analysis.</w:t>
      </w:r>
    </w:p>
    <w:tbl>
      <w:tblPr>
        <w:tblStyle w:val="Table"/>
        <w:tblW w:type="pct" w:w="5000"/>
        <w:tblLayout w:type="fixed"/>
        <w:tblLook w:firstRow="0" w:lastRow="0" w:firstColumn="0" w:lastColumn="0" w:noHBand="0" w:noVBand="0" w:val="0000"/>
      </w:tblPr>
      <w:tblGrid>
        <w:gridCol w:w="7920"/>
      </w:tblGrid>
      <w:tr>
        <w:tc>
          <w:tcPr/>
          <w:bookmarkStart w:id="55" w:name="fig-scl-w-sf"/>
          <w:p>
            <w:pPr>
              <w:pStyle w:val="940"/>
              <w:jc w:val="center"/>
            </w:pPr>
            <w:r>
              <w:drawing>
                <wp:inline>
                  <wp:extent cx="5943600" cy="2971800"/>
                  <wp:effectExtent b="0" l="0" r="0" t="0"/>
                  <wp:docPr descr="" title="" id="53" name="Picture"/>
                  <a:graphic>
                    <a:graphicData uri="http://schemas.openxmlformats.org/drawingml/2006/picture">
                      <pic:pic>
                        <pic:nvPicPr>
                          <pic:cNvPr descr="figs/automated_snowfall_event_periods/cuml_event_snowfall_canopy_storage_avg_of_scls_and_w_tree.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average of the three subcanopy lysimeters (SCL, left) and weighed tree lysimeter (right) for each of the 26 snowfall events.</w:t>
            </w:r>
          </w:p>
          <w:bookmarkEnd w:id="55"/>
        </w:tc>
      </w:tr>
    </w:tbl>
    <w:tbl>
      <w:tblPr>
        <w:tblStyle w:val="Table"/>
        <w:tblW w:type="pct" w:w="5000"/>
        <w:tblLayout w:type="fixed"/>
        <w:tblLook w:firstRow="0" w:lastRow="0" w:firstColumn="0" w:lastColumn="0" w:noHBand="0" w:noVBand="0" w:val="0000"/>
      </w:tblPr>
      <w:tblGrid>
        <w:gridCol w:w="7920"/>
      </w:tblGrid>
      <w:tr>
        <w:tc>
          <w:tcPr/>
          <w:bookmarkStart w:id="56"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snowfall measured at PWL station and the average throughfall of all three SCLs located within the FT forest plot (all from 15-min. measurements).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6"/>
        </w:tc>
      </w:tr>
    </w:tbl>
    <w:tbl>
      <w:tblPr>
        <w:tblStyle w:val="Table"/>
        <w:tblW w:type="pct" w:w="5000"/>
        <w:tblLayout w:type="fixed"/>
        <w:tblLook w:firstRow="0" w:lastRow="0" w:firstColumn="0" w:lastColumn="0" w:noHBand="0" w:noVBand="0" w:val="0000"/>
      </w:tblPr>
      <w:tblGrid>
        <w:gridCol w:w="7920"/>
      </w:tblGrid>
      <w:tr>
        <w:tc>
          <w:tcPr/>
          <w:bookmarkStart w:id="60" w:name="fig-wind-rose"/>
          <w:p>
            <w:pPr>
              <w:pStyle w:val="940"/>
              <w:jc w:val="center"/>
            </w:pPr>
            <w:r>
              <w:drawing>
                <wp:inline>
                  <wp:extent cx="3566160" cy="3413465"/>
                  <wp:effectExtent b="0" l="0" r="0" t="0"/>
                  <wp:docPr descr="" title="" id="58" name="Picture"/>
                  <a:graphic>
                    <a:graphicData uri="http://schemas.openxmlformats.org/drawingml/2006/picture">
                      <pic:pic>
                        <pic:nvPicPr>
                          <pic:cNvPr descr="figs/automated_snowfall_event_periods/ft_wind_rose_allevents_snowing_custom_dimensions.png" id="59" name="Picture"/>
                          <pic:cNvPicPr>
                            <a:picLocks noChangeArrowheads="1" noChangeAspect="1"/>
                          </pic:cNvPicPr>
                        </pic:nvPicPr>
                        <pic:blipFill>
                          <a:blip r:embed="rId57"/>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0"/>
        </w:tc>
      </w:tr>
    </w:tbl>
    <w:p>
      <w:pPr>
        <w:pStyle w:val="887"/>
      </w:pPr>
      <w:hyperlink w:anchor="fig-scl-ip-bins">
        <w:r>
          <w:rPr>
            <w:rStyle w:val="894"/>
          </w:rPr>
          <w:t xml:space="preserve">Figure 5</w:t>
        </w:r>
      </w:hyperlink>
      <w:r>
        <w:t xml:space="preserve"> </w:t>
      </w:r>
      <w:r>
        <w:t xml:space="preserve">shows interception efficiency calculated from accumulated snowfall (Pluvio) and throughfall (SCL) measurements for bins of air temperature, wind speed, and initial canopy snow load for periods with minimal canopy snow ablation. Accumulated snowfall ranged from 2–107 mm and accumulated throughfall ranged from 0.6–47 mm across the differing bins. The absolute instrument error within each bin ranged from +/-0.01–0.02 mm for the throughfall measurements and from +/-1.70–2.60 mm for the snowfall measurements. The interception efficiency observed across differing bins of air temperature does not show any systematic trend (</w:t>
      </w:r>
      <w:hyperlink w:anchor="fig-scl-ip-bins">
        <w:r>
          <w:rPr>
            <w:rStyle w:val="894"/>
          </w:rPr>
          <w:t xml:space="preserve">Figure 5</w:t>
        </w:r>
      </w:hyperlink>
      <w:r>
        <w:t xml:space="preserve">). While air temperature bins below -10°C show slightly higher interception efficiency for the sparse and mixed canopies, the high uncertainty of these interception efficiency measurements, make any potential trend with air temperature highly uncertain. An increasing trend in interception efficiency with increasing wind speed was observed for the sparse and closed canopies (Figure 6b). Although interception efficiency continues increasing for wind speeds above 2 m s</w:t>
      </w:r>
      <w:r>
        <w:rPr>
          <w:vertAlign w:val="superscript"/>
        </w:rPr>
        <w:t xml:space="preserve">-1</w:t>
      </w:r>
      <w:r>
        <w:t xml:space="preserve">, the high uncertainty in these interception efficiencies limits this trend to below 2 m s</w:t>
      </w:r>
      <w:r>
        <w:rPr>
          <w:vertAlign w:val="superscript"/>
        </w:rPr>
        <w:t xml:space="preserve">-1</w:t>
      </w:r>
      <w:r>
        <w:t xml:space="preserve">. A small increase in interception efficiency is observed for the sparse and closed canopies when the snow load is less than 7 mm (Figure 6c). Interception efficiency later declined for snow loads greater than 7 mm for all three canopies before the uncertainty in the interception efficiency measurements becomes substantial.</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940"/>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accumulated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(SCL) measurements for bins of air temperature, wind speed, and initial canopy snow load (the snow load observed by the weighed tree at the beginning of the timestep) over the 26 snowfall events. The error bars represent the estimated combined instrument error of the snowfall gauge and SCLs.</w:t>
            </w:r>
          </w:p>
          <w:bookmarkEnd w:id="64"/>
        </w:tc>
      </w:tr>
    </w:tbl>
    <w:bookmarkEnd w:id="65"/>
    <w:bookmarkStart w:id="84" w:name="Xf88e7f459f8c3a44a6cb1905ebf75d9611be3f7"/>
    <w:p>
      <w:pPr>
        <w:pStyle w:val="877"/>
      </w:pPr>
      <w:r>
        <w:t xml:space="preserve">4.2 The influence of canopy density on snow interception</w:t>
      </w:r>
    </w:p>
    <w:p>
      <w:pPr>
        <w:pStyle w:val="939"/>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velocity observed over the event was 0.9 m s</w:t>
      </w:r>
      <w:r>
        <w:rPr>
          <w:vertAlign w:val="superscript"/>
        </w:rPr>
        <w:t xml:space="preserve">-1</w:t>
      </w:r>
      <w:r>
        <w:t xml:space="preserve">.</w:t>
      </w:r>
    </w:p>
    <w:p>
      <w:pPr>
        <w:pStyle w:val="887"/>
      </w:pPr>
      <w:r>
        <w:t xml:space="preserve">Throughfall depth measured by UAV-lidar was close to the 28 in-situ manual measurements with a mean bias of -0.001 m and RMSE of 0.024 m. More details on the accuracy of UAV-lidar snow depth measurements are provided in the supporting information section.</w:t>
      </w:r>
      <w:r>
        <w:t xml:space="preserve"> </w:t>
      </w:r>
      <w:hyperlink w:anchor="fig-lidar-tf-ip">
        <w:r>
          <w:rPr>
            <w:rStyle w:val="894"/>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894"/>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6</w:t>
        </w:r>
      </w:hyperlink>
      <w:r>
        <w:t xml:space="preserve"> </w:t>
      </w:r>
      <w:r>
        <w:t xml:space="preserve">to be more apparent in the PWL forest plot than the FT forest plot. This may be attributed to the taller trees and higher canopy cover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69" w:name="fig-lidar-tf-ip"/>
          <w:p>
            <w:pPr>
              <w:pStyle w:val="940"/>
              <w:jc w:val="center"/>
            </w:pPr>
            <w:r>
              <w:drawing>
                <wp:inline>
                  <wp:extent cx="5943600" cy="6686549"/>
                  <wp:effectExtent b="0" l="0" r="0" t="0"/>
                  <wp:docPr descr="" title="" id="67" name="Picture"/>
                  <a:graphic>
                    <a:graphicData uri="http://schemas.openxmlformats.org/drawingml/2006/picture">
                      <pic:pic>
                        <pic:nvPicPr>
                          <pic:cNvPr descr="figs/external_figures/facet_ft_pwl_23_072_23_073_v2.0.0_saswe_and_ip_normalised_resample_0.25.png" id="68" name="Picture"/>
                          <pic:cNvPicPr>
                            <a:picLocks noChangeArrowheads="1" noChangeAspect="1"/>
                          </pic:cNvPicPr>
                        </pic:nvPicPr>
                        <pic:blipFill>
                          <a:blip r:embed="rId6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 2023 24-hour snowfall event for the FT and PWL forest plots at a 0.25 m resolution. See the location of the two forest plots in</w:t>
            </w:r>
            <w:r>
              <w:t xml:space="preserve"> </w:t>
            </w:r>
            <w:hyperlink w:anchor="fig-site-map">
              <w:r>
                <w:rPr>
                  <w:rStyle w:val="894"/>
                </w:rPr>
                <w:t xml:space="preserve">Figure 1</w:t>
              </w:r>
            </w:hyperlink>
            <w:r>
              <w:t xml:space="preserve">.</w:t>
            </w:r>
          </w:p>
          <w:bookmarkEnd w:id="69"/>
        </w:tc>
      </w:tr>
    </w:tbl>
    <w:p>
      <w:pPr>
        <w:pStyle w:val="887"/>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represents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VoxRS measurements.</w:t>
      </w:r>
      <w:r>
        <w:t xml:space="preserve"> </w:t>
      </w:r>
      <w:hyperlink w:anchor="fig-hemi-ip-cc">
        <w:r>
          <w:rPr>
            <w:rStyle w:val="894"/>
          </w:rPr>
          <w:t xml:space="preserve">Figure 7</w:t>
        </w:r>
      </w:hyperlink>
      <w:r>
        <w:t xml:space="preserve"> </w:t>
      </w:r>
      <w:r>
        <w:t xml:space="preserve">shows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7</w:t>
        </w:r>
      </w:hyperlink>
      <w:r>
        <w:t xml:space="preserve">, were found between azimuth angles of 167°–217°. Similarly, for the FT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3" w:name="fig-hemi-ip-cc"/>
          <w:p>
            <w:pPr>
              <w:pStyle w:val="940"/>
              <w:jc w:val="center"/>
            </w:pPr>
            <w:r>
              <w:drawing>
                <wp:inline>
                  <wp:extent cx="5943600" cy="2971800"/>
                  <wp:effectExtent b="0" l="0" r="0" t="0"/>
                  <wp:docPr descr="" title="" id="71" name="Picture"/>
                  <a:graphic>
                    <a:graphicData uri="http://schemas.openxmlformats.org/drawingml/2006/picture">
                      <pic:pic>
                        <pic:nvPicPr>
                          <pic:cNvPr descr="figs/external_figures/full_hemi_rho_p_cor_lca_ip_23_072_vox_len_0.25m_sa_gridgen_v2.0.0_sa_ft_pwl_.png" id="72" name="Picture"/>
                          <pic:cNvPicPr>
                            <a:picLocks noChangeArrowheads="1" noChangeAspect="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3"/>
        </w:tc>
      </w:tr>
    </w:tbl>
    <w:p>
      <w:pPr>
        <w:pStyle w:val="887"/>
      </w:pPr>
      <w:r>
        <w:t xml:space="preserve">An estimate of</w:t>
      </w:r>
      <w:r>
        <w:t xml:space="preserve"> </w:t>
      </w:r>
      <m:oMath>
        <m:sSub>
          <m:e>
            <m:r>
              <m:t>C</m:t>
            </m:r>
          </m:e>
          <m:sub>
            <m:r>
              <m:t>p</m:t>
            </m:r>
          </m:sub>
        </m:sSub>
      </m:oMath>
      <w:r>
        <w:t xml:space="preserve"> </w:t>
      </w:r>
      <w:r>
        <w:t xml:space="preserve">for the event was selected from the VoxRS measurements based on the vector corresponding to the azimuth and zenith angles observed to have the highest</w:t>
      </w:r>
      <w:r>
        <w:t xml:space="preserve"> </w:t>
      </w:r>
      <m:oMath>
        <m:sSub>
          <m:e>
            <m:r>
              <m:t>ρ</m:t>
            </m:r>
          </m:e>
          <m:sub>
            <m:r>
              <m:t>p</m:t>
            </m:r>
          </m:sub>
        </m:sSub>
      </m:oMath>
      <w:r>
        <w:t xml:space="preserve"> </w:t>
      </w:r>
      <w:r>
        <w:t xml:space="preserve">in</w:t>
      </w:r>
      <w:r>
        <w:t xml:space="preserve"> </w:t>
      </w:r>
      <w:hyperlink w:anchor="fig-hemi-ip-cc">
        <w:r>
          <w:rPr>
            <w:rStyle w:val="894"/>
          </w:rPr>
          <w:t xml:space="preserve">Figure 7</w:t>
        </w:r>
      </w:hyperlink>
      <w:r>
        <w:t xml:space="preserve">. The spatial distribution of the selected VoxRS</w:t>
      </w:r>
      <w:r>
        <w:t xml:space="preserve"> </w:t>
      </w:r>
      <m:oMath>
        <m:sSub>
          <m:e>
            <m:r>
              <m:t>C</m:t>
            </m:r>
          </m:e>
          <m:sub>
            <m:r>
              <m:t>p</m:t>
            </m:r>
          </m:sub>
        </m:sSub>
      </m:oMath>
      <w:r>
        <w:t xml:space="preserve"> </w:t>
      </w:r>
      <w:r>
        <w:t xml:space="preserve">measurements is shown in</w:t>
      </w:r>
      <w:r>
        <w:t xml:space="preserve"> </w:t>
      </w:r>
      <w:hyperlink w:anchor="fig-lidar-cc-cp">
        <w:r>
          <w:rPr>
            <w:rStyle w:val="894"/>
          </w:rPr>
          <w:t xml:space="preserve">Figure 8</w:t>
        </w:r>
      </w:hyperlink>
      <w:r>
        <w:t xml:space="preserve"> </w:t>
      </w:r>
      <w:r>
        <w:t xml:space="preserve">and generally aligns with the spatial distribution of interception efficiency and throughfall shown in</w:t>
      </w:r>
      <w:r>
        <w:t xml:space="preserve"> </w:t>
      </w:r>
      <w:hyperlink w:anchor="fig-lidar-tf-ip">
        <w:r>
          <w:rPr>
            <w:rStyle w:val="894"/>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7" w:name="fig-lidar-cc-cp"/>
          <w:p>
            <w:pPr>
              <w:pStyle w:val="940"/>
              <w:jc w:val="center"/>
            </w:pPr>
            <w:r>
              <w:drawing>
                <wp:inline>
                  <wp:extent cx="5943600" cy="4245428"/>
                  <wp:effectExtent b="0" l="0" r="0" t="0"/>
                  <wp:docPr descr="" title="" id="75" name="Picture"/>
                  <a:graphic>
                    <a:graphicData uri="http://schemas.openxmlformats.org/drawingml/2006/picture">
                      <pic:pic>
                        <pic:nvPicPr>
                          <pic:cNvPr descr="figs/external_figures/facet_ft_pwl_23_072_vox_len_0.25m_sa_gridgen_v2.0.0_sa__leaf_contact_area_event_traj_25cm.png" id="76" name="Picture"/>
                          <pic:cNvPicPr>
                            <a:picLocks noChangeArrowheads="1" noChangeAspect="1"/>
                          </pic:cNvPicPr>
                        </pic:nvPicPr>
                        <pic:blipFill>
                          <a:blip r:embed="rId7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7"/>
        </w:tc>
      </w:tr>
    </w:tbl>
    <w:p>
      <w:pPr>
        <w:pStyle w:val="887"/>
      </w:pPr>
      <w:hyperlink w:anchor="fig-lca-vs-ip">
        <w:r>
          <w:rPr>
            <w:rStyle w:val="894"/>
          </w:rPr>
          <w:t xml:space="preserve">Figure 9</w:t>
        </w:r>
      </w:hyperlink>
      <w:r>
        <w:t xml:space="preserve"> </w:t>
      </w:r>
      <w:r>
        <w:t xml:space="preserve">shows the correlation between interception efficiency (</w:t>
      </w:r>
      <w:hyperlink w:anchor="fig-lidar-tf-ip">
        <w:r>
          <w:rPr>
            <w:rStyle w:val="894"/>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894"/>
          </w:rPr>
          <w:t xml:space="preserve">Figure 8</w:t>
        </w:r>
      </w:hyperlink>
      <w:r>
        <w:t xml:space="preserve">), resampled to a 5 m grid resolution, was higher compared to the association with leaf contact angle measured at a zenith angle of 0°.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887"/>
      </w:pPr>
      <w:bookmarkStart w:id="78"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8"/>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(e.g.,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2" w:name="fig-lca-vs-ip"/>
          <w:p>
            <w:pPr>
              <w:pStyle w:val="940"/>
              <w:jc w:val="center"/>
            </w:pPr>
            <w:r>
              <w:drawing>
                <wp:inline>
                  <wp:extent cx="5943600" cy="2971800"/>
                  <wp:effectExtent b="0" l="0" r="0" t="0"/>
                  <wp:docPr descr="" title="" id="80" name="Picture"/>
                  <a:graphic>
                    <a:graphicData uri="http://schemas.openxmlformats.org/drawingml/2006/picture">
                      <pic:pic>
                        <pic:nvPicPr>
                          <pic:cNvPr descr="figs/external_figures/pwl_ft_lca_vs_ip_phi_nadir_adjusted_resample_w_mods_5m.pn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2"/>
        </w:tc>
      </w:tr>
    </w:tbl>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0.45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894"/>
          </w:rPr>
          <w:t xml:space="preserve">Table 3</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894"/>
          </w:rPr>
          <w:t xml:space="preserve">Figure 9</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6</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6</w:t>
        </w:r>
      </w:hyperlink>
      <w:r>
        <w:t xml:space="preserve">. The latter explanation suggests the non-linear relationship observed for the PWL nadir calculation in</w:t>
      </w:r>
      <w:r>
        <w:t xml:space="preserve"> </w:t>
      </w:r>
      <w:hyperlink w:anchor="fig-lidar-tf-ip">
        <w:r>
          <w:rPr>
            <w:rStyle w:val="894"/>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3"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940"/>
                    <w:jc w:val="left"/>
                    <w:jc w:val="center"/>
                  </w:pPr>
                  <w:r>
                    <w:t xml:space="preserve">Plot Name</w:t>
                  </w:r>
                </w:p>
              </w:tc>
              <w:tc>
                <w:tcPr/>
                <w:p>
                  <w:pPr>
                    <w:pStyle w:val="940"/>
                    <w:jc w:val="left"/>
                    <w:jc w:val="center"/>
                  </w:pPr>
                  <w:r>
                    <w:t xml:space="preserve">Canopy Calculation</w:t>
                  </w:r>
                </w:p>
              </w:tc>
              <w:tc>
                <w:tcPr/>
                <w:p>
                  <w:pPr>
                    <w:pStyle w:val="940"/>
                    <w:jc w:val="right"/>
                    <w:jc w:val="center"/>
                  </w:pPr>
                  <w:r>
                    <w:t xml:space="preserve">Model Slope (-)</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1.01</w:t>
                  </w:r>
                </w:p>
              </w:tc>
              <w:tc>
                <w:tcPr/>
                <w:p>
                  <w:pPr>
                    <w:pStyle w:val="940"/>
                    <w:jc w:val="right"/>
                    <w:jc w:val="center"/>
                  </w:pPr>
                  <w:r>
                    <w:t xml:space="preserve">0.024</w:t>
                  </w:r>
                </w:p>
              </w:tc>
              <w:tc>
                <w:tcPr/>
                <w:p>
                  <w:pPr>
                    <w:pStyle w:val="940"/>
                    <w:jc w:val="right"/>
                    <w:jc w:val="center"/>
                  </w:pPr>
                  <w:r>
                    <w:t xml:space="preserve">0.072</w:t>
                  </w:r>
                </w:p>
              </w:tc>
              <w:tc>
                <w:tcPr/>
                <w:p>
                  <w:pPr>
                    <w:pStyle w:val="940"/>
                    <w:jc w:val="right"/>
                    <w:jc w:val="center"/>
                  </w:pPr>
                  <w:r>
                    <w:t xml:space="preserve">0.101</w:t>
                  </w:r>
                </w:p>
              </w:tc>
              <w:tc>
                <w:tcPr/>
                <w:p>
                  <w:pPr>
                    <w:pStyle w:val="940"/>
                    <w:jc w:val="right"/>
                    <w:jc w:val="center"/>
                  </w:pPr>
                  <w:r>
                    <w:t xml:space="preserve">0.49</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0.69</w:t>
                  </w:r>
                </w:p>
              </w:tc>
              <w:tc>
                <w:tcPr/>
                <w:p>
                  <w:pPr>
                    <w:pStyle w:val="940"/>
                    <w:jc w:val="right"/>
                    <w:jc w:val="center"/>
                  </w:pPr>
                  <w:r>
                    <w:t xml:space="preserve">0.003</w:t>
                  </w:r>
                </w:p>
              </w:tc>
              <w:tc>
                <w:tcPr/>
                <w:p>
                  <w:pPr>
                    <w:pStyle w:val="940"/>
                    <w:jc w:val="right"/>
                    <w:jc w:val="center"/>
                  </w:pPr>
                  <w:r>
                    <w:t xml:space="preserve">0.047</w:t>
                  </w:r>
                </w:p>
              </w:tc>
              <w:tc>
                <w:tcPr/>
                <w:p>
                  <w:pPr>
                    <w:pStyle w:val="940"/>
                    <w:jc w:val="right"/>
                    <w:jc w:val="center"/>
                  </w:pPr>
                  <w:r>
                    <w:t xml:space="preserve">0.063</w:t>
                  </w:r>
                </w:p>
              </w:tc>
              <w:tc>
                <w:tcPr/>
                <w:p>
                  <w:pPr>
                    <w:pStyle w:val="940"/>
                    <w:jc w:val="right"/>
                    <w:jc w:val="center"/>
                  </w:pPr>
                  <w:r>
                    <w:t xml:space="preserve">0.80</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0.96</w:t>
                  </w:r>
                </w:p>
              </w:tc>
              <w:tc>
                <w:tcPr/>
                <w:p>
                  <w:pPr>
                    <w:pStyle w:val="940"/>
                    <w:jc w:val="right"/>
                    <w:jc w:val="center"/>
                  </w:pPr>
                  <w:r>
                    <w:t xml:space="preserve">0.049</w:t>
                  </w:r>
                </w:p>
              </w:tc>
              <w:tc>
                <w:tcPr/>
                <w:p>
                  <w:pPr>
                    <w:pStyle w:val="940"/>
                    <w:jc w:val="right"/>
                    <w:jc w:val="center"/>
                  </w:pPr>
                  <w:r>
                    <w:t xml:space="preserve">0.115</w:t>
                  </w:r>
                </w:p>
              </w:tc>
              <w:tc>
                <w:tcPr/>
                <w:p>
                  <w:pPr>
                    <w:pStyle w:val="940"/>
                    <w:jc w:val="right"/>
                    <w:jc w:val="center"/>
                  </w:pPr>
                  <w:r>
                    <w:t xml:space="preserve">0.148</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0.72</w:t>
                  </w:r>
                </w:p>
              </w:tc>
              <w:tc>
                <w:tcPr/>
                <w:p>
                  <w:pPr>
                    <w:pStyle w:val="940"/>
                    <w:jc w:val="right"/>
                    <w:jc w:val="center"/>
                  </w:pPr>
                  <w:r>
                    <w:t xml:space="preserve">0.020</w:t>
                  </w:r>
                </w:p>
              </w:tc>
              <w:tc>
                <w:tcPr/>
                <w:p>
                  <w:pPr>
                    <w:pStyle w:val="940"/>
                    <w:jc w:val="right"/>
                    <w:jc w:val="center"/>
                  </w:pPr>
                  <w:r>
                    <w:t xml:space="preserve">0.079</w:t>
                  </w:r>
                </w:p>
              </w:tc>
              <w:tc>
                <w:tcPr/>
                <w:p>
                  <w:pPr>
                    <w:pStyle w:val="940"/>
                    <w:jc w:val="right"/>
                    <w:jc w:val="center"/>
                  </w:pPr>
                  <w:r>
                    <w:t xml:space="preserve">0.096</w:t>
                  </w:r>
                </w:p>
              </w:tc>
              <w:tc>
                <w:tcPr/>
                <w:p>
                  <w:pPr>
                    <w:pStyle w:val="940"/>
                    <w:jc w:val="right"/>
                    <w:jc w:val="center"/>
                  </w:pPr>
                  <w:r>
                    <w:t xml:space="preserve">0.45</w:t>
                  </w:r>
                </w:p>
              </w:tc>
            </w:tr>
          </w:tbl>
          <w:bookmarkEnd w:id="83"/>
          <w:p/>
        </w:tc>
      </w:tr>
    </w:tbl>
    <w:bookmarkEnd w:id="84"/>
    <w:bookmarkStart w:id="93" w:name="Xc1d93118372f06c553b4c0d85211f15a35e0b7a"/>
    <w:p>
      <w:pPr>
        <w:pStyle w:val="877"/>
      </w:pPr>
      <w:r>
        <w:t xml:space="preserve">4.3 The combined influence of trajectory angle and canopy density on interception</w:t>
      </w:r>
    </w:p>
    <w:p>
      <w:pPr>
        <w:pStyle w:val="939"/>
      </w:pPr>
      <w:hyperlink w:anchor="fig-lca-ht-ws">
        <w:r>
          <w:rPr>
            <w:rStyle w:val="894"/>
          </w:rPr>
          <w:t xml:space="preserve">Figure 10</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894"/>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10</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10</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8" w:name="fig-lca-ht-ws"/>
          <w:p>
            <w:pPr>
              <w:pStyle w:val="940"/>
              <w:jc w:val="center"/>
            </w:pPr>
            <w:r>
              <w:drawing>
                <wp:inline>
                  <wp:extent cx="5943600" cy="4457699"/>
                  <wp:effectExtent b="0" l="0" r="0" t="0"/>
                  <wp:docPr descr="" title="" id="86" name="Picture"/>
                  <a:graphic>
                    <a:graphicData uri="http://schemas.openxmlformats.org/drawingml/2006/picture">
                      <pic:pic>
                        <pic:nvPicPr>
                          <pic:cNvPr descr="figs/external_figures/WITH_TREEWELLS_traj_angle_and_wind_single_zenith_1_thetaby_1_traj_angle_wind_speed_vs_cowplot_lca_and_inc_w_mods_mean_sd_23_072.png" id="87" name="Picture"/>
                          <pic:cNvPicPr>
                            <a:picLocks noChangeArrowheads="1" noChangeAspect="1"/>
                          </pic:cNvPicPr>
                        </pic:nvPicPr>
                        <pic:blipFill>
                          <a:blip r:embed="rId85"/>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e.g.,</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row) and</w:t>
            </w:r>
            <w:r>
              <w:t xml:space="preserve"> </w:t>
            </w:r>
            <w:hyperlink w:anchor="eq-lca-inc">
              <w:r>
                <w:rPr>
                  <w:rStyle w:val="894"/>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8"/>
        </w:tc>
      </w:tr>
    </w:tbl>
    <w:p>
      <w:pPr>
        <w:pStyle w:val="887"/>
      </w:pPr>
      <w:r>
        <w:t xml:space="preserve">A function is proposed here to calculate plot-scale leaf contact area,</w:t>
      </w:r>
      <w:r>
        <w:t xml:space="preserve"> </w:t>
      </w:r>
      <m:oMath>
        <m:sSub>
          <m:e>
            <m:r>
              <m:t>C</m:t>
            </m:r>
          </m:e>
          <m:sub>
            <m:r>
              <m:t>p</m:t>
            </m:r>
          </m:sub>
        </m:sSub>
      </m:oMath>
      <w:r>
        <w:t xml:space="preserve"> </w:t>
      </w:r>
      <w:r>
        <w:t xml:space="preserve">(-):</w:t>
      </w:r>
    </w:p>
    <w:p>
      <w:pPr>
        <w:pStyle w:val="887"/>
      </w:pPr>
      <w:bookmarkStart w:id="89"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89"/>
    </w:p>
    <w:p>
      <w:pPr>
        <w:pStyle w:val="939"/>
      </w:pPr>
      <w:r>
        <w:t xml:space="preserve">where,</w:t>
      </w:r>
      <w:r>
        <w:t xml:space="preserve"> </w:t>
      </w:r>
      <m:oMath>
        <m:sSub>
          <m:e>
            <m:r>
              <m:t>C</m:t>
            </m:r>
          </m:e>
          <m:sub>
            <m:r>
              <m:t>i</m:t>
            </m:r>
            <m:r>
              <m:t>n</m:t>
            </m:r>
            <m:r>
              <m:t>c</m:t>
            </m:r>
          </m:sub>
        </m:sSub>
      </m:oMath>
      <w:r>
        <w:t xml:space="preserve"> </w:t>
      </w:r>
      <w:r>
        <w:t xml:space="preserve">represents the increase in leaf contact area from</w:t>
      </w:r>
      <w:r>
        <w:t xml:space="preserve"> </w:t>
      </w:r>
      <m:oMath>
        <m:sSub>
          <m:e>
            <m:r>
              <m:t>C</m:t>
            </m:r>
          </m:e>
          <m:sub>
            <m:r>
              <m:t>c</m:t>
            </m:r>
          </m:sub>
        </m:sSub>
      </m:oMath>
      <w:r>
        <w:t xml:space="preserve">, and it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887"/>
      </w:pPr>
      <w:bookmarkStart w:id="90"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0"/>
    </w:p>
    <w:p>
      <w:pPr>
        <w:pStyle w:val="939"/>
      </w:pPr>
      <w:r>
        <w:t xml:space="preserve">where</w:t>
      </w:r>
      <w:r>
        <w:t xml:space="preserve"> </w:t>
      </w:r>
      <m:oMath>
        <m:r>
          <m:t>1</m:t>
        </m:r>
        <m:r>
          <m:rPr>
            <m:sty m:val="p"/>
          </m:rPr>
          <m:t>−</m:t>
        </m:r>
        <m:sSub>
          <m:e>
            <m:r>
              <m:t>C</m:t>
            </m:r>
          </m:e>
          <m:sub>
            <m:r>
              <m:t>C</m:t>
            </m:r>
          </m:sub>
        </m:sSub>
      </m:oMath>
      <w:r>
        <w:t xml:space="preserve"> </w:t>
      </w:r>
      <w:r>
        <w:t xml:space="preserve">represents the void space in the canopy, and</w:t>
      </w:r>
      <w:r>
        <w:t xml:space="preserve"> </w:t>
      </w:r>
      <m:oMath>
        <m:r>
          <m:t>f</m:t>
        </m:r>
        <m:d>
          <m:dPr>
            <m:begChr m:val="("/>
            <m:endChr m:val=")"/>
            <m:sepChr m:val=""/>
            <m:grow/>
          </m:dPr>
          <m:e>
            <m:sSub>
              <m:e>
                <m:r>
                  <m:t>θ</m:t>
                </m:r>
              </m:e>
              <m:sub>
                <m:r>
                  <m:t>h</m:t>
                </m:r>
              </m:sub>
            </m:sSub>
          </m:e>
        </m:d>
      </m:oMath>
      <w:r>
        <w:t xml:space="preserve"> </w:t>
      </w:r>
      <w:r>
        <w:t xml:space="preserve">is a function describes the relative increase in canopy area as a function of</w:t>
      </w:r>
      <w:r>
        <w:t xml:space="preserve"> </w:t>
      </w:r>
      <m:oMath>
        <m:sSub>
          <m:e>
            <m:r>
              <m:t>θ</m:t>
            </m:r>
          </m:e>
          <m:sub>
            <m:r>
              <m:t>h</m:t>
            </m:r>
          </m:sub>
        </m:sSub>
      </m:oMath>
      <w:r>
        <w:t xml:space="preserve">.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887"/>
      </w:pPr>
      <w:bookmarkStart w:id="91"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1"/>
    </w:p>
    <w:p>
      <w:pPr>
        <w:pStyle w:val="939"/>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r>
          <m:t>f</m:t>
        </m:r>
        <m:d>
          <m:dPr>
            <m:begChr m:val="("/>
            <m:endChr m:val=")"/>
            <m:sepChr m:val=""/>
            <m:grow/>
          </m:dPr>
          <m:e>
            <m:sSub>
              <m:e>
                <m:r>
                  <m:t>θ</m:t>
                </m:r>
              </m:e>
              <m:sub>
                <m:r>
                  <m:t>h</m:t>
                </m:r>
              </m:sub>
            </m:sSub>
          </m:e>
        </m:d>
        <m:r>
          <m:rPr>
            <m:sty m:val="p"/>
          </m:rPr>
          <m:t>=</m:t>
        </m:r>
        <m:sSub>
          <m:e>
            <m:r>
              <m:t>C</m:t>
            </m:r>
          </m:e>
          <m:sub>
            <m:r>
              <m:t>i</m:t>
            </m:r>
            <m:r>
              <m:t>n</m:t>
            </m:r>
            <m:r>
              <m:t>c</m:t>
            </m:r>
          </m:sub>
        </m:sSub>
        <m:r>
          <m:rPr>
            <m:sty m:val="p"/>
          </m:rPr>
          <m:t>=</m:t>
        </m:r>
        <m:r>
          <m:t>0</m:t>
        </m:r>
      </m:oMath>
      <w:r>
        <w:t xml:space="preserve"> </w:t>
      </w:r>
      <w:r>
        <w:t xml:space="preserve">and</w:t>
      </w:r>
      <w:r>
        <w:t xml:space="preserve"> </w:t>
      </w:r>
      <m:oMath>
        <m:sSub>
          <m:e>
            <m:r>
              <m:t>C</m:t>
            </m:r>
          </m:e>
          <m:sub>
            <m:r>
              <m:t>p</m:t>
            </m:r>
          </m:sub>
        </m:sSub>
      </m:oMath>
      <w:r>
        <w:t xml:space="preserve"> </w:t>
      </w:r>
      <w:r>
        <w:t xml:space="preserve">is equal to the canopy coverage.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894"/>
          </w:rPr>
          <w:t xml:space="preserve">Equation 12</w:t>
        </w:r>
      </w:hyperlink>
      <w:r>
        <w:t xml:space="preserve"> </w:t>
      </w:r>
      <w:r>
        <w:t xml:space="preserve">include its application to a forest with relatively uniform structure (e.g., without large clear cuts) and where the mean height of the canopy is greater than the mean width of individual trees. Additionally, it is assumed that snowfall is not transmitted through the canopy and that overlapping of canopy elements is negligible.</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shown in</w:t>
      </w:r>
      <w:r>
        <w:t xml:space="preserve"> </w:t>
      </w:r>
      <w:hyperlink w:anchor="tbl-lca-mod-err">
        <w:r>
          <w:rPr>
            <w:rStyle w:val="894"/>
          </w:rPr>
          <w:t xml:space="preserve">Table 4</w:t>
        </w:r>
      </w:hyperlink>
      <w:r>
        <w:t xml:space="preserve"> </w:t>
      </w:r>
      <w:r>
        <w:t xml:space="preserve">demonstrate that</w:t>
      </w:r>
      <w:r>
        <w:t xml:space="preserve"> </w:t>
      </w:r>
      <w:hyperlink w:anchor="eq-lca-inc">
        <w:r>
          <w:rPr>
            <w:rStyle w:val="894"/>
          </w:rPr>
          <w:t xml:space="preserve">Equation 11</w:t>
        </w:r>
      </w:hyperlink>
      <w:r>
        <w:t xml:space="preserve"> </w:t>
      </w:r>
      <w:r>
        <w:t xml:space="preserve">performed well, with a mean bias and RMSE of (-) and (-) respectively for PWL, and (-) and (-) for FT. In contrast,</w:t>
      </w:r>
      <w:r>
        <w:t xml:space="preserve"> </w:t>
      </w:r>
      <w:hyperlink w:anchor="tbl-lca-mod-err">
        <w:r>
          <w:rPr>
            <w:rStyle w:val="894"/>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respectively for PWL, and -0.26 (-) and 0.32 (-) for FT.</w:t>
      </w:r>
    </w:p>
    <w:tbl>
      <w:tblPr>
        <w:tblStyle w:val="Table"/>
        <w:tblW w:type="pct" w:w="5000"/>
        <w:tblLayout w:type="fixed"/>
        <w:tblLook w:firstRow="0" w:lastRow="0" w:firstColumn="0" w:lastColumn="0" w:noHBand="0" w:noVBand="0" w:val="0000"/>
      </w:tblPr>
      <w:tblGrid>
        <w:gridCol w:w="7920"/>
      </w:tblGrid>
      <w:tr>
        <w:tc>
          <w:tcPr/>
          <w:bookmarkStart w:id="92"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(Eq. 11)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940"/>
                    <w:jc w:val="left"/>
                    <w:jc w:val="center"/>
                  </w:pPr>
                  <w:r>
                    <w:t xml:space="preserve">Model</w:t>
                  </w:r>
                </w:p>
              </w:tc>
              <w:tc>
                <w:tcPr/>
                <w:p>
                  <w:pPr>
                    <w:pStyle w:val="940"/>
                    <w:jc w:val="left"/>
                    <w:jc w:val="center"/>
                  </w:pPr>
                  <w:r>
                    <w:t xml:space="preserve">Plot Name</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-0.26</w:t>
                  </w:r>
                </w:p>
              </w:tc>
              <w:tc>
                <w:tcPr/>
                <w:p>
                  <w:pPr>
                    <w:pStyle w:val="940"/>
                    <w:jc w:val="right"/>
                    <w:jc w:val="center"/>
                  </w:pPr>
                  <w:r>
                    <w:t xml:space="preserve">0.26</w:t>
                  </w:r>
                </w:p>
              </w:tc>
              <w:tc>
                <w:tcPr/>
                <w:p>
                  <w:pPr>
                    <w:pStyle w:val="940"/>
                    <w:jc w:val="right"/>
                    <w:jc w:val="center"/>
                  </w:pPr>
                  <w:r>
                    <w:t xml:space="preserve">0.32</w:t>
                  </w:r>
                </w:p>
              </w:tc>
              <w:tc>
                <w:tcPr/>
                <w:p>
                  <w:pPr>
                    <w:pStyle w:val="940"/>
                    <w:jc w:val="right"/>
                    <w:jc w:val="center"/>
                  </w:pPr>
                  <w:r>
                    <w:t xml:space="preserve">-0.97</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w:t>
                  </w:r>
                </w:p>
              </w:tc>
              <w:tc>
                <w:tcPr/>
                <w:p>
                  <w:pPr>
                    <w:pStyle w:val="940"/>
                    <w:jc w:val="right"/>
                    <w:jc w:val="center"/>
                  </w:pPr>
                  <w:r>
                    <w:t xml:space="preserve">0.20</w:t>
                  </w:r>
                </w:p>
              </w:tc>
              <w:tc>
                <w:tcPr/>
                <w:p>
                  <w:pPr>
                    <w:pStyle w:val="940"/>
                    <w:jc w:val="right"/>
                    <w:jc w:val="center"/>
                  </w:pPr>
                  <w:r>
                    <w:t xml:space="preserve">0.23</w:t>
                  </w:r>
                </w:p>
              </w:tc>
              <w:tc>
                <w:tcPr/>
                <w:p>
                  <w:pPr>
                    <w:pStyle w:val="940"/>
                    <w:jc w:val="right"/>
                    <w:jc w:val="center"/>
                  </w:pPr>
                  <w:r>
                    <w:t xml:space="preserve">-0.96</w:t>
                  </w:r>
                </w:p>
              </w:tc>
            </w:tr>
            <w:tr>
              <w:tc>
                <w:tcPr/>
                <w:p>
                  <w:pPr>
                    <w:pStyle w:val="940"/>
                    <w:jc w:val="left"/>
                    <w:jc w:val="center"/>
                  </w:pPr>
                  <w:r>
                    <w:t xml:space="preserve">Eq. 10</w:t>
                  </w:r>
                </w:p>
              </w:tc>
              <w:tc>
                <w:tcPr/>
                <w:p>
                  <w:pPr>
                    <w:pStyle w:val="940"/>
                    <w:jc w:val="left"/>
                    <w:jc w:val="center"/>
                  </w:pPr>
                  <w:r>
                    <w:t xml:space="preserve">FT</w:t>
                  </w:r>
                </w:p>
              </w:tc>
              <w:tc>
                <w:tcPr/>
                <w:p>
                  <w:pPr>
                    <w:pStyle w:val="940"/>
                    <w:jc w:val="right"/>
                    <w:jc w:val="center"/>
                  </w:pPr>
                  <w:r>
                    <w:t xml:space="preserve">0.03</w:t>
                  </w:r>
                </w:p>
              </w:tc>
              <w:tc>
                <w:tcPr/>
                <w:p>
                  <w:pPr>
                    <w:pStyle w:val="940"/>
                    <w:jc w:val="right"/>
                    <w:jc w:val="center"/>
                  </w:pPr>
                  <w:r>
                    <w:t xml:space="preserve">0.04</w:t>
                  </w:r>
                </w:p>
              </w:tc>
              <w:tc>
                <w:tcPr/>
                <w:p>
                  <w:pPr>
                    <w:pStyle w:val="940"/>
                    <w:jc w:val="right"/>
                    <w:jc w:val="center"/>
                  </w:pPr>
                  <w:r>
                    <w:t xml:space="preserve">0.05</w:t>
                  </w:r>
                </w:p>
              </w:tc>
              <w:tc>
                <w:tcPr/>
                <w:p>
                  <w:pPr>
                    <w:pStyle w:val="940"/>
                    <w:jc w:val="right"/>
                    <w:jc w:val="center"/>
                  </w:pPr>
                  <w:r>
                    <w:t xml:space="preserve">0.95</w:t>
                  </w:r>
                </w:p>
              </w:tc>
            </w:tr>
            <w:tr>
              <w:tc>
                <w:tcPr/>
                <w:p>
                  <w:pPr>
                    <w:pStyle w:val="940"/>
                    <w:jc w:val="left"/>
                    <w:jc w:val="center"/>
                  </w:pPr>
                  <w:r>
                    <w:t xml:space="preserve">Eq. 10</w:t>
                  </w:r>
                </w:p>
              </w:tc>
              <w:tc>
                <w:tcPr/>
                <w:p>
                  <w:pPr>
                    <w:pStyle w:val="940"/>
                    <w:jc w:val="left"/>
                    <w:jc w:val="center"/>
                  </w:pPr>
                  <w:r>
                    <w:t xml:space="preserve">PWL</w:t>
                  </w:r>
                </w:p>
              </w:tc>
              <w:tc>
                <w:tcPr/>
                <w:p>
                  <w:pPr>
                    <w:pStyle w:val="940"/>
                    <w:jc w:val="right"/>
                    <w:jc w:val="center"/>
                  </w:pPr>
                  <w:r>
                    <w:t xml:space="preserve">-0.05</w:t>
                  </w:r>
                </w:p>
              </w:tc>
              <w:tc>
                <w:tcPr/>
                <w:p>
                  <w:pPr>
                    <w:pStyle w:val="940"/>
                    <w:jc w:val="right"/>
                    <w:jc w:val="center"/>
                  </w:pPr>
                  <w:r>
                    <w:t xml:space="preserve">0.05</w:t>
                  </w:r>
                </w:p>
              </w:tc>
              <w:tc>
                <w:tcPr/>
                <w:p>
                  <w:pPr>
                    <w:pStyle w:val="940"/>
                    <w:jc w:val="right"/>
                    <w:jc w:val="center"/>
                  </w:pPr>
                  <w:r>
                    <w:t xml:space="preserve">0.05</w:t>
                  </w:r>
                </w:p>
              </w:tc>
              <w:tc>
                <w:tcPr/>
                <w:p>
                  <w:pPr>
                    <w:pStyle w:val="940"/>
                    <w:jc w:val="right"/>
                    <w:jc w:val="center"/>
                  </w:pPr>
                  <w:r>
                    <w:t xml:space="preserve">0.90</w:t>
                  </w:r>
                </w:p>
              </w:tc>
            </w:tr>
          </w:tbl>
          <w:bookmarkEnd w:id="92"/>
          <w:p/>
        </w:tc>
      </w:tr>
    </w:tbl>
    <w:bookmarkEnd w:id="93"/>
    <w:bookmarkStart w:id="99" w:name="throughfall-model-performance"/>
    <w:p>
      <w:pPr>
        <w:pStyle w:val="877"/>
      </w:pPr>
      <w:r>
        <w:t xml:space="preserve">4.4 Throughfall model performance</w:t>
      </w:r>
    </w:p>
    <w:p>
      <w:pPr>
        <w:pStyle w:val="939"/>
      </w:pPr>
      <w:r>
        <w:t xml:space="preserve">The performance of the interception efficiency (</w:t>
      </w:r>
      <w:hyperlink w:anchor="eq-lca-ip">
        <w:r>
          <w:rPr>
            <w:rStyle w:val="894"/>
          </w:rPr>
          <w:t xml:space="preserve">Equation 9</w:t>
        </w:r>
      </w:hyperlink>
      <w:r>
        <w:t xml:space="preserve">) and leaf contact area (</w:t>
      </w:r>
      <w:hyperlink w:anchor="eq-lca-ac">
        <w:r>
          <w:rPr>
            <w:rStyle w:val="894"/>
          </w:rPr>
          <w:t xml:space="preserve">Equation 10</w:t>
        </w:r>
      </w:hyperlink>
      <w:r>
        <w:t xml:space="preserve">) parameterizations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894"/>
          </w:rPr>
          <w:t xml:space="preserve">Equation 4</w:t>
        </w:r>
      </w:hyperlink>
      <w:r>
        <w:t xml:space="preserve"> </w:t>
      </w:r>
      <w:r>
        <w:t xml:space="preserve">combined with the mean event wind speed at one-third the mean canopy height (estimated from</w:t>
      </w:r>
      <w:r>
        <w:t xml:space="preserve"> </w:t>
      </w:r>
      <w:hyperlink w:anchor="eq-cionco">
        <w:r>
          <w:rPr>
            <w:rStyle w:val="894"/>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894"/>
          </w:rPr>
          <w:t xml:space="preserve">Equation 10</w:t>
        </w:r>
      </w:hyperlink>
      <w:r>
        <w:t xml:space="preserve"> </w:t>
      </w:r>
      <w:r>
        <w:t xml:space="preserve">for the PWL and FT plots, incorporating the approximated hydrometeor trajectory angle and observed canopy coverage from the VoxRS dataset. Interception efficiency was calculated using</w:t>
      </w:r>
      <w:r>
        <w:t xml:space="preserve"> </w:t>
      </w:r>
      <w:hyperlink w:anchor="eq-lca-ip">
        <w:r>
          <w:rPr>
            <w:rStyle w:val="894"/>
          </w:rPr>
          <w:t xml:space="preserve">Equation 9</w:t>
        </w:r>
      </w:hyperlink>
      <w:r>
        <w:t xml:space="preserve"> </w:t>
      </w:r>
      <w:r>
        <w:t xml:space="preserve">with the estimated leaf contact area and accumulated snowfall measured at PWL station for the event. An</w:t>
      </w:r>
      <w:r>
        <w:t xml:space="preserve"> </w:t>
      </w:r>
      <m:oMath>
        <m:r>
          <m:t>α</m:t>
        </m:r>
      </m:oMath>
      <w:r>
        <w:t xml:space="preserve"> </w:t>
      </w:r>
      <w:r>
        <w:t xml:space="preserve">value, used in</w:t>
      </w:r>
      <w:r>
        <w:t xml:space="preserve"> </w:t>
      </w:r>
      <w:hyperlink w:anchor="eq-lca-ip">
        <w:r>
          <w:rPr>
            <w:rStyle w:val="894"/>
          </w:rPr>
          <w:t xml:space="preserve">Equation 9</w:t>
        </w:r>
      </w:hyperlink>
      <w:r>
        <w:t xml:space="preserve">, of 0.978 (-) was found through calibration which provided the best fit between observed and simulated interception efficiency at the plot scale for both FT and PWL.</w:t>
      </w:r>
    </w:p>
    <w:p>
      <w:pPr>
        <w:pStyle w:val="887"/>
      </w:pPr>
      <w:hyperlink w:anchor="fig-event-tf">
        <w:r>
          <w:rPr>
            <w:rStyle w:val="894"/>
          </w:rPr>
          <w:t xml:space="preserve">Figure 11</w:t>
        </w:r>
      </w:hyperlink>
      <w:r>
        <w:t xml:space="preserve"> </w:t>
      </w:r>
      <w:r>
        <w:t xml:space="preserve">illustrates that the new vector-based parameterization closely matches UAV-lidar measurements of throughfall. Modelled throughfall from the vector-based model was 17.2 mm compared to the measured throughfall of 16.6 mm for PWL. For FT, the vector-based modelled throughfall was 21.5 mm, while the measured values where 22.1 mm.</w:t>
      </w:r>
      <w:r>
        <w:t xml:space="preserve"> </w:t>
      </w:r>
      <w:hyperlink w:anchor="tbl-vb-plot-err">
        <w:r>
          <w:rPr>
            <w:rStyle w:val="894"/>
          </w:rPr>
          <w:t xml:space="preserve">Table 5</w:t>
        </w:r>
      </w:hyperlink>
      <w:r>
        <w:t xml:space="preserve"> </w:t>
      </w:r>
      <w:r>
        <w:t xml:space="preserve">presents both observed and modelled values for interception efficiency and throughfall, along with corresponding error statistics. The vector-based model shows a lower mean bias of -0.6 mm for PWL and 0.6 mm for FT, in contrast to the nadir-based model, which overestimated throughfall for both plots. This overestimation occurred because the nadir-based model approximated leaf contact area directly from canopy cover measurements (i.e., was not adjusted using</w:t>
      </w:r>
      <w:r>
        <w:t xml:space="preserve"> </w:t>
      </w:r>
      <w:hyperlink w:anchor="eq-lca-ac">
        <w:r>
          <w:rPr>
            <w:rStyle w:val="894"/>
          </w:rPr>
          <w:t xml:space="preserve">Equation 10</w:t>
        </w:r>
      </w:hyperlink>
      <w:r>
        <w:t xml:space="preserve">), resulting in a lower estimated contact area and consequently less snow intercepted in the canopy.</w:t>
      </w:r>
    </w:p>
    <w:tbl>
      <w:tblPr>
        <w:tblStyle w:val="Table"/>
        <w:tblW w:type="pct" w:w="5000"/>
        <w:tblLayout w:type="fixed"/>
        <w:tblLook w:firstRow="0" w:lastRow="0" w:firstColumn="0" w:lastColumn="0" w:noHBand="0" w:noVBand="0" w:val="0000"/>
      </w:tblPr>
      <w:tblGrid>
        <w:gridCol w:w="7920"/>
      </w:tblGrid>
      <w:tr>
        <w:tc>
          <w:tcPr/>
          <w:bookmarkStart w:id="97" w:name="fig-event-tf"/>
          <w:p>
            <w:pPr>
              <w:pStyle w:val="940"/>
              <w:jc w:val="center"/>
            </w:pPr>
            <w:r>
              <w:drawing>
                <wp:inline>
                  <wp:extent cx="4587290" cy="2752374"/>
                  <wp:effectExtent b="0" l="0" r="0" t="0"/>
                  <wp:docPr descr="" title="" id="95" name="Picture"/>
                  <a:graphic>
                    <a:graphicData uri="http://schemas.openxmlformats.org/drawingml/2006/picture">
                      <pic:pic>
                        <pic:nvPicPr>
                          <pic:cNvPr descr="figs/lidar_periods/23_072_23_073_event_throughfall_totals_obs_vs_vb_vs_nadir.png" id="96" name="Picture"/>
                          <pic:cNvPicPr>
                            <a:picLocks noChangeArrowheads="1" noChangeAspect="1"/>
                          </pic:cNvPicPr>
                        </pic:nvPicPr>
                        <pic:blipFill>
                          <a:blip r:embed="rId94"/>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w:t>
            </w:r>
            <m:oMath>
              <m:r>
                <m:t>Δ</m:t>
              </m:r>
              <m:r>
                <m:rPr>
                  <m:nor/>
                  <m:sty m:val="p"/>
                </m:rPr>
                <m:t>SWE</m:t>
              </m:r>
            </m:oMath>
            <w:r>
              <w:t xml:space="preserv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(e.g.,</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7"/>
        </w:tc>
      </w:tr>
    </w:tbl>
    <w:p>
      <w:r>
        <w:br w:type="page"/>
      </w:r>
    </w:p>
    <w:tbl>
      <w:tblPr>
        <w:tblStyle w:val="Table"/>
        <w:tblW w:type="pct" w:w="5000"/>
        <w:tblLayout w:type="fixed"/>
        <w:tblLook w:firstRow="0" w:lastRow="0" w:firstColumn="0" w:lastColumn="0" w:noHBand="0" w:noVBand="0" w:val="0000"/>
      </w:tblPr>
      <w:tblGrid>
        <w:gridCol w:w="7920"/>
      </w:tblGrid>
      <w:tr>
        <w:tc>
          <w:tcPr/>
          <w:bookmarkStart w:id="98"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7"/>
              <w:gridCol w:w="1218"/>
              <w:gridCol w:w="1116"/>
              <w:gridCol w:w="609"/>
              <w:gridCol w:w="1116"/>
              <w:gridCol w:w="1116"/>
              <w:gridCol w:w="1015"/>
              <w:gridCol w:w="1218"/>
            </w:tblGrid>
            <w:tr>
              <w:trPr>
                <w:tblHeader w:val="on"/>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0.25</w:t>
                  </w:r>
                </w:p>
              </w:tc>
              <w:tc>
                <w:tcPr/>
                <w:p>
                  <w:pPr>
                    <w:pStyle w:val="940"/>
                    <w:jc w:val="right"/>
                    <w:jc w:val="center"/>
                  </w:pPr>
                  <w:r>
                    <w:t xml:space="preserve">-0.02</w:t>
                  </w:r>
                </w:p>
              </w:tc>
              <w:tc>
                <w:tcPr/>
                <w:p>
                  <w:pPr>
                    <w:pStyle w:val="940"/>
                    <w:jc w:val="right"/>
                    <w:jc w:val="center"/>
                  </w:pPr>
                  <w:r>
                    <w:t xml:space="preserve">-9.01</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mm</w:t>
                  </w:r>
                </w:p>
              </w:tc>
              <w:tc>
                <w:tcPr/>
                <w:p>
                  <w:pPr>
                    <w:pStyle w:val="940"/>
                    <w:jc w:val="right"/>
                    <w:jc w:val="center"/>
                  </w:pPr>
                  <w:r>
                    <w:t xml:space="preserve">22.12</w:t>
                  </w:r>
                </w:p>
              </w:tc>
              <w:tc>
                <w:tcPr/>
                <w:p>
                  <w:pPr>
                    <w:pStyle w:val="940"/>
                    <w:jc w:val="right"/>
                    <w:jc w:val="center"/>
                  </w:pPr>
                  <w:r>
                    <w:t xml:space="preserve">21.53</w:t>
                  </w:r>
                </w:p>
              </w:tc>
              <w:tc>
                <w:tcPr/>
                <w:p>
                  <w:pPr>
                    <w:pStyle w:val="940"/>
                    <w:jc w:val="right"/>
                    <w:jc w:val="center"/>
                  </w:pPr>
                  <w:r>
                    <w:t xml:space="preserve">0.59</w:t>
                  </w:r>
                </w:p>
              </w:tc>
              <w:tc>
                <w:tcPr/>
                <w:p>
                  <w:pPr>
                    <w:pStyle w:val="940"/>
                    <w:jc w:val="right"/>
                    <w:jc w:val="center"/>
                  </w:pPr>
                  <w:r>
                    <w:t xml:space="preserve">2.67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mm</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0.40</w:t>
                  </w:r>
                </w:p>
              </w:tc>
              <w:tc>
                <w:tcPr/>
                <w:p>
                  <w:pPr>
                    <w:pStyle w:val="940"/>
                    <w:jc w:val="right"/>
                    <w:jc w:val="center"/>
                  </w:pPr>
                  <w:r>
                    <w:t xml:space="preserve">0.02</w:t>
                  </w:r>
                </w:p>
              </w:tc>
              <w:tc>
                <w:tcPr/>
                <w:p>
                  <w:pPr>
                    <w:pStyle w:val="940"/>
                    <w:jc w:val="right"/>
                    <w:jc w:val="center"/>
                  </w:pPr>
                  <w:r>
                    <w:t xml:space="preserve">4.91</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mm</w:t>
                  </w:r>
                </w:p>
              </w:tc>
              <w:tc>
                <w:tcPr/>
                <w:p>
                  <w:pPr>
                    <w:pStyle w:val="940"/>
                    <w:jc w:val="right"/>
                    <w:jc w:val="center"/>
                  </w:pPr>
                  <w:r>
                    <w:t xml:space="preserve">16.64</w:t>
                  </w:r>
                </w:p>
              </w:tc>
              <w:tc>
                <w:tcPr/>
                <w:p>
                  <w:pPr>
                    <w:pStyle w:val="940"/>
                    <w:jc w:val="right"/>
                    <w:jc w:val="center"/>
                  </w:pPr>
                  <w:r>
                    <w:t xml:space="preserve">17.24</w:t>
                  </w:r>
                </w:p>
              </w:tc>
              <w:tc>
                <w:tcPr/>
                <w:p>
                  <w:pPr>
                    <w:pStyle w:val="940"/>
                    <w:jc w:val="right"/>
                    <w:jc w:val="center"/>
                  </w:pPr>
                  <w:r>
                    <w:t xml:space="preserve">-0.59</w:t>
                  </w:r>
                </w:p>
              </w:tc>
              <w:tc>
                <w:tcPr/>
                <w:p>
                  <w:pPr>
                    <w:pStyle w:val="940"/>
                    <w:jc w:val="right"/>
                    <w:jc w:val="center"/>
                  </w:pPr>
                  <w:r>
                    <w:t xml:space="preserve">-3.55</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mm</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98"/>
          <w:p/>
        </w:tc>
      </w:tr>
    </w:tbl>
    <w:bookmarkEnd w:id="99"/>
    <w:bookmarkEnd w:id="100"/>
    <w:bookmarkStart w:id="103" w:name="discussion"/>
    <w:p>
      <w:pPr>
        <w:pStyle w:val="876"/>
      </w:pPr>
      <w:r>
        <w:t xml:space="preserve">5. Discussion</w:t>
      </w:r>
    </w:p>
    <w:bookmarkStart w:id="101" w:name="X4705bbba75029b021524cc7f0f7f2fc2bc263d5"/>
    <w:p>
      <w:pPr>
        <w:pStyle w:val="877"/>
      </w:pPr>
      <w:r>
        <w:t xml:space="preserve">5.1 Influence of Air Temperature, Wind Speed and Canopy Snow Load on Initial Interception</w:t>
      </w:r>
    </w:p>
    <w:p>
      <w:pPr>
        <w:pStyle w:val="939"/>
      </w:pPr>
      <w:r>
        <w:t xml:space="preserve">The point scale observations presented in</w:t>
      </w:r>
      <w:r>
        <w:t xml:space="preserve"> </w:t>
      </w:r>
      <w:hyperlink w:anchor="fig-scl-ip-bins">
        <w:r>
          <w:rPr>
            <w:rStyle w:val="894"/>
          </w:rPr>
          <w:t xml:space="preserve">Figure 5</w:t>
        </w:r>
      </w:hyperlink>
      <w:r>
        <w:t xml:space="preserve"> </w:t>
      </w:r>
      <w:r>
        <w:t xml:space="preserve">indicate that air temperature had little influence on initial interception efficiency during periods were melt and unloading of snow were less likely. This finding aligns with</w:t>
      </w:r>
      <w:r>
        <w:t xml:space="preserve"> </w:t>
      </w:r>
      <w:r>
        <w:t xml:space="preserve">Storck et al. (2002)</w:t>
      </w:r>
      <w:r>
        <w:t xml:space="preserve">, who observed that variations in air temperature did not significantly affect interception efficiency for measurements that partitioned ablation and initial canopy snow loading processes. The limited association may be explained as air temperature influences processes that both increase or decrease interception efficiency, which may occur simultaneously and limit the overall effect. For example, warmer temperatures increase branch flexibility</w:t>
      </w:r>
      <w:r>
        <w:t xml:space="preserve"> </w:t>
      </w:r>
      <w:r>
        <w:t xml:space="preserve">(Schmidt &amp; Gluns, 1991)</w:t>
      </w:r>
      <w:r>
        <w:t xml:space="preserve">, and can cause snow loaded branches to bend and thus reduce</w:t>
      </w:r>
      <w:r>
        <w:t xml:space="preserve"> </w:t>
      </w:r>
      <m:oMath>
        <m:sSub>
          <m:e>
            <m:r>
              <m:t>C</m:t>
            </m:r>
          </m:e>
          <m:sub>
            <m:r>
              <m:t>p</m:t>
            </m:r>
          </m:sub>
        </m:sSub>
      </m:oMath>
      <w:r>
        <w:t xml:space="preserve">. In contrast, the cohesion and adhesion of snowfall has been shown to increase for warmer temperatures</w:t>
      </w:r>
      <w:r>
        <w:t xml:space="preserve"> </w:t>
      </w:r>
      <w:r>
        <w:t xml:space="preserve">(Kobayashi, 1987; Pfister &amp; Schneebeli, 1999)</w:t>
      </w:r>
      <w:r>
        <w:t xml:space="preserve"> </w:t>
      </w:r>
      <w:r>
        <w:t xml:space="preserve">which could increase the efficiency constant (i.e.,</w:t>
      </w:r>
      <w:r>
        <w:t xml:space="preserve"> </w:t>
      </w:r>
      <m:oMath>
        <m:r>
          <m:t>α</m:t>
        </m:r>
      </m:oMath>
      <w:r>
        <w:t xml:space="preserve"> </w:t>
      </w:r>
      <w:r>
        <w:t xml:space="preserve">in</w:t>
      </w:r>
      <w:r>
        <w:t xml:space="preserve"> </w:t>
      </w:r>
      <w:hyperlink w:anchor="eq-lca-ip">
        <w:r>
          <w:rPr>
            <w:rStyle w:val="894"/>
          </w:rPr>
          <w:t xml:space="preserve">Equation 9</w:t>
        </w:r>
      </w:hyperlink>
      <w:r>
        <w:t xml:space="preserve">) thereby increasing interception efficiency as observed by</w:t>
      </w:r>
      <w:r>
        <w:t xml:space="preserve"> </w:t>
      </w:r>
      <w:r>
        <w:t xml:space="preserve">Katsushima et al. (2023)</w:t>
      </w:r>
      <w:r>
        <w:t xml:space="preserve">. However, the throughfall observations reported here were filtered to exclude periods of canopy snow melt, when higher liquid water content enhances cohesion and adhesion, and liquid water may freeze onto the canopy. Therefore, the</w:t>
      </w:r>
      <w:r>
        <w:t xml:space="preserve"> </w:t>
      </w:r>
      <m:oMath>
        <m:r>
          <m:t>α</m:t>
        </m:r>
      </m:oMath>
      <w:r>
        <w:t xml:space="preserve"> </w:t>
      </w:r>
      <w:r>
        <w:t xml:space="preserve">value reported here may be less compared to other environments that experience significant snowfall near the melting point. However, the combination of</w:t>
      </w:r>
      <w:r>
        <w:t xml:space="preserve"> </w:t>
      </w:r>
      <w:hyperlink w:anchor="eq-lca-ip">
        <w:r>
          <w:rPr>
            <w:rStyle w:val="894"/>
          </w:rPr>
          <w:t xml:space="preserve">Equation 9</w:t>
        </w:r>
      </w:hyperlink>
      <w:r>
        <w:t xml:space="preserve"> </w:t>
      </w:r>
      <w:r>
        <w:t xml:space="preserve">with an energy balance based canopy snow melt routine could also help represent the refreezing of snow to the canopy.</w:t>
      </w:r>
    </w:p>
    <w:p>
      <w:pPr>
        <w:pStyle w:val="887"/>
      </w:pPr>
      <w:r>
        <w:t xml:space="preserve">A weak trend was observed between initial interception efficiency (i.e., before unloading) with increasing wind speed at two locations which were sheltered from the predominant wind direction (Figure 6b). This is attributed to an associated increase in</w:t>
      </w:r>
      <w:r>
        <w:t xml:space="preserve"> </w:t>
      </w:r>
      <m:oMath>
        <m:sSub>
          <m:e>
            <m:r>
              <m:t>C</m:t>
            </m:r>
          </m:e>
          <m:sub>
            <m:r>
              <m:t>p</m:t>
            </m:r>
          </m:sub>
        </m:sSub>
      </m:oMath>
      <w:r>
        <w:t xml:space="preserve"> </w:t>
      </w:r>
      <w:r>
        <w:t xml:space="preserve">due to non-vertical hydrometeor trajectories.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(Figure 6c).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show that these two processes may partially compensate for each other as</w:t>
      </w:r>
      <w:r>
        <w:t xml:space="preserve"> </w:t>
      </w:r>
      <m:oMath>
        <m:sSub>
          <m:e>
            <m:r>
              <m:t>C</m:t>
            </m:r>
          </m:e>
          <m:sub>
            <m:r>
              <m:t>p</m:t>
            </m:r>
          </m:sub>
        </m:sSub>
      </m:oMath>
      <w:r>
        <w:t xml:space="preserve"> </w:t>
      </w:r>
      <w:r>
        <w:t xml:space="preserve">increases for closed canopies, as new snow bridges gaps, but decreases in partially open canopy due to branch bending</w:t>
      </w:r>
      <w:r>
        <w:t xml:space="preserve"> </w:t>
      </w:r>
      <w:r>
        <w:t xml:space="preserve">(i.e., Fig. 2 in Schmidt &amp; Gluns, 1991)</w:t>
      </w:r>
      <w:r>
        <w:t xml:space="preserve">.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shown in</w:t>
      </w:r>
      <w:r>
        <w:t xml:space="preserve"> </w:t>
      </w:r>
      <w:hyperlink w:anchor="fig-lca-ht-ws">
        <w:r>
          <w:rPr>
            <w:rStyle w:val="894"/>
          </w:rPr>
          <w:t xml:space="preserve">Figure 10</w:t>
        </w:r>
      </w:hyperlink>
      <w:r>
        <w:t xml:space="preserve">. Moreover, additional studies</w:t>
      </w:r>
      <w:r>
        <w:t xml:space="preserve"> </w:t>
      </w:r>
      <w:r>
        <w:t xml:space="preserve">(Calder, 1990; Watanabe &amp; Ozeki, 1964)</w:t>
      </w:r>
      <w:r>
        <w:t xml:space="preserve"> </w:t>
      </w:r>
      <w:r>
        <w:t xml:space="preserve">align with the observations in</w:t>
      </w:r>
      <w:r>
        <w:t xml:space="preserve"> </w:t>
      </w:r>
      <w:hyperlink w:anchor="fig-scl-w-sf">
        <w:r>
          <w:rPr>
            <w:rStyle w:val="894"/>
          </w:rPr>
          <w:t xml:space="preserve">Figure 3</w:t>
        </w:r>
      </w:hyperlink>
      <w:r>
        <w:t xml:space="preserve">, which show a relatively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w:t>
      </w:r>
      <w:r>
        <w:t xml:space="preserve"> </w:t>
      </w:r>
      <w:r>
        <w:t xml:space="preserve">Lehtonen et al. (2016)</w:t>
      </w:r>
      <w:r>
        <w:t xml:space="preserve"> </w:t>
      </w:r>
      <w:r>
        <w:t xml:space="preserve">also note that in northern Finland heavy canopy snow loads have been observed to continue increasing until stem breakage, under conditions favourable for the formation of significant rime-ice accretion and limited ablation, thus reducing</w:t>
      </w:r>
      <w:r>
        <w:t xml:space="preserve"> </w:t>
      </w:r>
      <m:oMath>
        <m:sSub>
          <m:e>
            <m:r>
              <m:t>C</m:t>
            </m:r>
          </m:e>
          <m:sub>
            <m:r>
              <m:t>p</m:t>
            </m:r>
          </m:sub>
        </m:sSub>
      </m:oMath>
      <w:r>
        <w:t xml:space="preserve">.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 The low sensitivity of interception efficiency with canopy snow load found in this study and others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bookmarkEnd w:id="101"/>
    <w:bookmarkStart w:id="102" w:name="X9e5258ef002dc959c7da0775c1ced75f6016852"/>
    <w:p>
      <w:pPr>
        <w:pStyle w:val="877"/>
      </w:pPr>
      <w:r>
        <w:t xml:space="preserve">5.2 Justification for and Limitations of a New Snow Interception Model</w:t>
      </w:r>
    </w:p>
    <w:p>
      <w:pPr>
        <w:pStyle w:val="939"/>
      </w:pPr>
      <w:r>
        <w:t xml:space="preserve">The limited influence of air temperature and canopy snow load on initial interception reported here differs from the theories underpinning existing snow interception parameterizations</w:t>
      </w:r>
      <w:r>
        <w:t xml:space="preserve"> </w:t>
      </w:r>
      <w:r>
        <w:t xml:space="preserve">(Hedstrom &amp; Pomeroy, 1998; Moeser et al., 2015; Satterlund &amp; Haupt, 1967; Storck et al., 2002)</w:t>
      </w:r>
      <w:r>
        <w:t xml:space="preserve">.</w:t>
      </w:r>
      <w:r>
        <w:t xml:space="preserve"> </w:t>
      </w:r>
      <w:r>
        <w:t xml:space="preserve">Cebulski &amp; Pomeroy (2025)</w:t>
      </w:r>
      <w:r>
        <w:t xml:space="preserve"> </w:t>
      </w:r>
      <w:r>
        <w:t xml:space="preserve">highlights the uncertainty in the extent to which ablative processes are included in common snow interception models. Since canopy snow ablation is strongly related to air temperature and snow load</w:t>
      </w:r>
      <w:r>
        <w:t xml:space="preserve"> </w:t>
      </w:r>
      <w:r>
        <w:t xml:space="preserve">(Ellis et al., 2010; Floyd, 2012; Hedstrom &amp; Pomeroy, 1998; Roesch et al., 2001)</w:t>
      </w:r>
      <w:r>
        <w:t xml:space="preserve"> </w:t>
      </w:r>
      <w:r>
        <w:t xml:space="preserve">some the previously observed relationships related to these variables may be explained by changes in ablation rather than initial interception. Moreover, since a canopy snow load capacity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Studies that have identified a relationship between air temperature and interception efficiency</w:t>
      </w:r>
      <w:r>
        <w:t xml:space="preserve"> </w:t>
      </w:r>
      <w:r>
        <w:t xml:space="preserve">(Katsushima et al., 2023; Roth &amp; Nolin, 2019)</w:t>
      </w:r>
      <w:r>
        <w:t xml:space="preserve">, were not explicitly focused on initial interception, prior to canopy snow ablation, and therefore include ablation processes in their measurements. Consequently, the relationships reported in</w:t>
      </w:r>
      <w:r>
        <w:t xml:space="preserve"> </w:t>
      </w:r>
      <w:r>
        <w:t xml:space="preserve">Roth &amp; Nolin (2019)</w:t>
      </w:r>
      <w:r>
        <w:t xml:space="preserve"> </w:t>
      </w:r>
      <w:r>
        <w:t xml:space="preserve">and</w:t>
      </w:r>
      <w:r>
        <w:t xml:space="preserve"> </w:t>
      </w:r>
      <w:r>
        <w:t xml:space="preserve">Katsushima et al. (2023)</w:t>
      </w:r>
      <w:r>
        <w:t xml:space="preserve"> </w:t>
      </w:r>
      <w:r>
        <w:t xml:space="preserve">result from initial interception and ablation processes. Similarly, the decrease in interception efficiency with increasing canopy snow load reported in</w:t>
      </w:r>
      <w:r>
        <w:t xml:space="preserve"> </w:t>
      </w:r>
      <w:r>
        <w:t xml:space="preserve">Schmidt &amp; Gluns (1991)</w:t>
      </w:r>
      <w:r>
        <w:t xml:space="preserve"> </w:t>
      </w:r>
      <w:r>
        <w:t xml:space="preserve">and</w:t>
      </w:r>
      <w:r>
        <w:t xml:space="preserve"> </w:t>
      </w:r>
      <w:r>
        <w:t xml:space="preserve">Katsushima et al. (2023)</w:t>
      </w:r>
      <w:r>
        <w:t xml:space="preserve"> </w:t>
      </w:r>
      <w:r>
        <w:t xml:space="preserve">may be complicated by canopy snow ablation processes. The coupling of ablation processes within existing snow interception models may contribute to overestimates of throughfall, canopy snow unloading, and canopy snow melt when combined with other canopy snow ablation parameterizations</w:t>
      </w:r>
      <w:r>
        <w:t xml:space="preserve"> </w:t>
      </w:r>
      <w:r>
        <w:t xml:space="preserve">(Cebulski &amp; Pomeroy, 2025)</w:t>
      </w:r>
      <w:r>
        <w:t xml:space="preserve">.</w:t>
      </w:r>
    </w:p>
    <w:p>
      <w:pPr>
        <w:pStyle w:val="887"/>
      </w:pPr>
      <w:r>
        <w:t xml:space="preserve">To address these issues, a new vector-based snow interception parameterization,</w:t>
      </w:r>
      <w:r>
        <w:t xml:space="preserve"> </w:t>
      </w:r>
      <w:hyperlink w:anchor="eq-lca-ip">
        <w:r>
          <w:rPr>
            <w:rStyle w:val="894"/>
          </w:rPr>
          <w:t xml:space="preserve">Equation 9</w:t>
        </w:r>
      </w:hyperlink>
      <w:r>
        <w:t xml:space="preserve">, is presented which calculates initial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constant.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9</w:t>
        </w:r>
      </w:hyperlink>
      <w:r>
        <w:t xml:space="preserve">, unlike existing rainfall parameterizations</w:t>
      </w:r>
      <w:r>
        <w:t xml:space="preserve"> </w:t>
      </w:r>
      <w:r>
        <w:t xml:space="preserve">(Valante et al., 1997)</w:t>
      </w:r>
      <w:r>
        <w:t xml:space="preserve"> </w:t>
      </w:r>
      <w:r>
        <w:t xml:space="preserve">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Moreover, the relationship of</w:t>
      </w:r>
      <w:r>
        <w:t xml:space="preserve"> </w:t>
      </w:r>
      <m:oMath>
        <m:sSub>
          <m:e>
            <m:r>
              <m:t>C</m:t>
            </m:r>
          </m:e>
          <m:sub>
            <m:r>
              <m:t>p</m:t>
            </m:r>
          </m:sub>
        </m:sSub>
      </m:oMath>
      <w:r>
        <w:t xml:space="preserve"> </w:t>
      </w:r>
      <w:r>
        <w:t xml:space="preserve">with air temperature and canopy snow load is expected to vary across varying combinations of climate, forest structure, species, and ages, requiring further research. For example, certain tree species or ages with very flexible branches may warrant the explicit representation of variable</w:t>
      </w:r>
      <w:r>
        <w:t xml:space="preserve"> </w:t>
      </w:r>
      <m:oMath>
        <m:sSub>
          <m:e>
            <m:r>
              <m:t>C</m:t>
            </m:r>
          </m:e>
          <m:sub>
            <m:r>
              <m:t>p</m:t>
            </m:r>
          </m:sub>
        </m:sSub>
      </m:oMath>
      <w:r>
        <w:t xml:space="preserve"> </w:t>
      </w:r>
      <w:r>
        <w:t xml:space="preserve">with canopy snow load. Since</w:t>
      </w:r>
      <w:r>
        <w:t xml:space="preserve"> </w:t>
      </w:r>
      <w:hyperlink w:anchor="eq-lca-ip">
        <w:r>
          <w:rPr>
            <w:rStyle w:val="894"/>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parameterizations to fully represent the canopy snow mass balance.</w:t>
      </w:r>
    </w:p>
    <w:p>
      <w:pPr>
        <w:pStyle w:val="887"/>
      </w:pPr>
      <w:r>
        <w:t xml:space="preserve">Measurements of interception efficiency, as shown in</w:t>
      </w:r>
      <w:r>
        <w:t xml:space="preserve"> </w:t>
      </w:r>
      <w:hyperlink w:anchor="fig-lidar-tf-ip">
        <w:r>
          <w:rPr>
            <w:rStyle w:val="894"/>
          </w:rPr>
          <w:t xml:space="preserve">Figure 6</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for a wind driven snowfall event. However, an existing exponential relationship proposed in</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894"/>
          </w:rPr>
          <w:t xml:space="preserve">Figure 10</w:t>
        </w:r>
      </w:hyperlink>
      <w:r>
        <w:t xml:space="preserve">. Instead, plot-wide</w:t>
      </w:r>
      <w:r>
        <w:t xml:space="preserve"> </w:t>
      </w:r>
      <m:oMath>
        <m:sSub>
          <m:e>
            <m:r>
              <m:t>C</m:t>
            </m:r>
          </m:e>
          <m:sub>
            <m:r>
              <m:t>i</m:t>
            </m:r>
            <m:r>
              <m:t>n</m:t>
            </m:r>
            <m:r>
              <m:t>c</m:t>
            </m:r>
          </m:sub>
        </m:sSub>
      </m:oMath>
      <w:r>
        <w:t xml:space="preserve"> </w:t>
      </w:r>
      <w:r>
        <w:t xml:space="preserve">was found to increase as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10</w:t>
        </w:r>
      </w:hyperlink>
      <w:r>
        <w:t xml:space="preserve">, resulted from variability in canopy density across different locations and azimuth angles. This large scatter suggests the observed relationships in</w:t>
      </w:r>
      <w:r>
        <w:t xml:space="preserve"> </w:t>
      </w:r>
      <w:hyperlink w:anchor="fig-lca-ht-ws">
        <w:r>
          <w:rPr>
            <w:rStyle w:val="894"/>
          </w:rPr>
          <w:t xml:space="preserve">Figure 10</w:t>
        </w:r>
      </w:hyperlink>
      <w:r>
        <w:t xml:space="preserve"> </w:t>
      </w:r>
      <w:r>
        <w:t xml:space="preserve">are only applicable at the forest stand scale where the sub-metre variability in</w:t>
      </w:r>
      <w:r>
        <w:t xml:space="preserve"> </w:t>
      </w:r>
      <m:oMath>
        <m:sSub>
          <m:e>
            <m:r>
              <m:t>C</m:t>
            </m:r>
          </m:e>
          <m:sub>
            <m:r>
              <m:t>p</m:t>
            </m:r>
          </m:sub>
        </m:sSub>
      </m:oMath>
      <w:r>
        <w:t xml:space="preserve"> </w:t>
      </w:r>
      <w:r>
        <w:t xml:space="preserve">averages out.</w:t>
      </w:r>
      <w:r>
        <w:t xml:space="preserve"> </w:t>
      </w:r>
      <w:hyperlink w:anchor="fig-lca-ht-ws">
        <w:r>
          <w:rPr>
            <w:rStyle w:val="894"/>
          </w:rPr>
          <w:t xml:space="preserve">Figure 10</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Still,</w:t>
      </w:r>
      <w:r>
        <w:t xml:space="preserve"> </w:t>
      </w:r>
      <w:hyperlink w:anchor="eq-lca-inc">
        <w:r>
          <w:rPr>
            <w:rStyle w:val="894"/>
          </w:rPr>
          <w:t xml:space="preserve">Equation 11</w:t>
        </w:r>
      </w:hyperlink>
      <w:r>
        <w:t xml:space="preserve"> </w:t>
      </w:r>
      <w:r>
        <w:t xml:space="preserve">would not be applicable in areas that have large continuous gap fractions (e.g., large forested clear cuts) that are many times wider than the mean canopy height. Further testing of</w:t>
      </w:r>
      <w:r>
        <w:t xml:space="preserve"> </w:t>
      </w:r>
      <w:hyperlink w:anchor="eq-lca-inc">
        <w:r>
          <w:rPr>
            <w:rStyle w:val="894"/>
          </w:rPr>
          <w:t xml:space="preserve">Equation 11</w:t>
        </w:r>
      </w:hyperlink>
      <w:r>
        <w:t xml:space="preserve"> </w:t>
      </w:r>
      <w:r>
        <w:t xml:space="preserve">is also needed in a wide range of forest species, ages, densities, and structures.</w:t>
      </w:r>
      <w:r>
        <w:t xml:space="preserve"> </w:t>
      </w:r>
      <w:r>
        <w:t xml:space="preserve">Staines &amp; Pomeroy (2023)</w:t>
      </w:r>
      <w:r>
        <w:t xml:space="preserve"> </w:t>
      </w:r>
      <w:r>
        <w:t xml:space="preserve">have also shown that backflows and large eddies that occur within the canopy can also contribute to mixed responses.</w:t>
      </w:r>
    </w:p>
    <w:p>
      <w:pPr>
        <w:pStyle w:val="887"/>
      </w:pPr>
      <w:r>
        <w:t xml:space="preserve">It was found that the mean event hydrometeor trajectory angle, required for</w:t>
      </w:r>
      <w:r>
        <w:t xml:space="preserve"> </w:t>
      </w:r>
      <w:hyperlink w:anchor="eq-lca-inc">
        <w:r>
          <w:rPr>
            <w:rStyle w:val="894"/>
          </w:rPr>
          <w:t xml:space="preserve">Equation 11</w:t>
        </w:r>
      </w:hyperlink>
      <w:r>
        <w:t xml:space="preserve">, could be predicted from</w:t>
      </w:r>
      <w:r>
        <w:t xml:space="preserve"> </w:t>
      </w:r>
      <w:hyperlink w:anchor="eq-ta">
        <w:r>
          <w:rPr>
            <w:rStyle w:val="894"/>
          </w:rPr>
          <w:t xml:space="preserve">Equation 4</w:t>
        </w:r>
      </w:hyperlink>
      <w:r>
        <w:t xml:space="preserve"> </w:t>
      </w:r>
      <w:r>
        <w:t xml:space="preserve">using the observed mean hydrometeor fall velocity and the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the canopy height observed here to other environments due to differing forest structures and tree species. This may include forests with a larger trunk space or have more of their canopy contact area at higher heights above the ground (e.g.,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Thus, representing both the increase in initial interception due to inclined hydrometeor trajectory angles and the subsequent increase in canopy snow unloading will be important in subcanopy snow accumulation models. This new vector-based model has been developed and tested based at the forest plot scale (hectares) and is therefore currently suitable for application in hydrological models at this scale that are discretized by forest density. Previous models were developed based on process understanding at varying scales:</w:t>
      </w:r>
      <w:r>
        <w:t xml:space="preserve"> </w:t>
      </w:r>
      <w:r>
        <w:t xml:space="preserve">Hedstrom &amp; Pomeroy (1998)</w:t>
      </w:r>
      <w:r>
        <w:t xml:space="preserve">, based on snow survey transects at the forest plot scale (intervals ranging from days to weeks), and</w:t>
      </w:r>
      <w:r>
        <w:t xml:space="preserve"> </w:t>
      </w:r>
      <w:r>
        <w:t xml:space="preserve">Storck et al. (2002)</w:t>
      </w:r>
      <w:r>
        <w:t xml:space="preserve">, based on point-scale 30-minute interval lysimetry observations.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scales or finer spatial and temporal resolutions. Therefore, the process understanding presented here may be more suitable for application at larger extents and finer temporal resolutions, however, further testing is required to support this theory.</w:t>
      </w:r>
    </w:p>
    <w:bookmarkEnd w:id="102"/>
    <w:bookmarkEnd w:id="103"/>
    <w:bookmarkStart w:id="104" w:name="conclusions"/>
    <w:p>
      <w:pPr>
        <w:pStyle w:val="876"/>
      </w:pPr>
      <w:r>
        <w:t xml:space="preserve">6. Conclusions</w:t>
      </w:r>
    </w:p>
    <w:p>
      <w:pPr>
        <w:pStyle w:val="939"/>
      </w:pPr>
      <w:r>
        <w:t xml:space="preserve">New observations of initial snow interception, collected over a wide range of meteorological conditions and canopy densities indicate that forest is the primary factor influencing subcanopy snow accumulation. At the point scale, measurements revealed no evidence of a maximum canopy snow load, even for event snowfalls up to 45 mm, nor was there any indication of air temperature influencing the cohesion and adhesion of snowfall to the canopy or branch bending reducing canopy cover. Instead, wind speed was found to influence interception efficiency by changing the hydrometeor trajectory angle, which can lead to a substantial increase in snow-leaf contact area.</w:t>
      </w:r>
    </w:p>
    <w:p>
      <w:pPr>
        <w:pStyle w:val="887"/>
      </w:pPr>
      <w:r>
        <w:t xml:space="preserve">At the forest plot scale, UAV-lidar measurements of throughfall aligned with the point-scale observations demonstrating that leaf contact area was the primary factor influencing interception efficiency at a particular site. Leaf contact area, which incorporates changes in the number of canopy contacts with hydrometeor trajectory angle, proved to be a better predictor of interception efficiency compared to nadir-calculated canopy cover. When averaged across each forest plot, leaf contact area was shown to be highly sensitive to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as a function of canopy cover and hydrometeor trajectory angle (approximated from wind speed), which demonstrated good performance at this study site.</w:t>
      </w:r>
    </w:p>
    <w:p>
      <w:pPr>
        <w:pStyle w:val="887"/>
      </w:pPr>
      <w:r>
        <w:t xml:space="preserve">The weak association between air temperature and canopy snow load with interception efficiency, as presented here and in other recent studies, coupled with the influence of wind speed on leaf contact area, highlights the need for a new snow interception parameterization. A new parameterization is proposed that calculates initial interception as a function of snowfall and leaf contact area. This parameterization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parameterization performed well in the subalpine forest studied here at the forest plot scale. However, further validation is necessary in a range of climates, forests, and larger spatial extents.</w:t>
      </w:r>
    </w:p>
    <w:bookmarkEnd w:id="104"/>
    <w:bookmarkStart w:id="105"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5"/>
    <w:bookmarkStart w:id="106" w:name="data-availability"/>
    <w:p>
      <w:pPr>
        <w:pStyle w:val="876"/>
      </w:pPr>
      <w:r>
        <w:t xml:space="preserve">8. Data Availability</w:t>
      </w:r>
    </w:p>
    <w:p>
      <w:pPr>
        <w:pStyle w:val="939"/>
      </w:pPr>
      <w:r>
        <w:t xml:space="preserve">The data that support the findings in this study are available at https://doi.org/10.5281/zenodo.14018893.</w:t>
      </w:r>
    </w:p>
    <w:p>
      <w:r>
        <w:br w:type="page"/>
      </w:r>
    </w:p>
    <w:bookmarkEnd w:id="106"/>
    <w:bookmarkStart w:id="214" w:name="references"/>
    <w:p>
      <w:pPr>
        <w:pStyle w:val="876"/>
      </w:pPr>
      <w:r>
        <w:t xml:space="preserve">9. References</w:t>
      </w:r>
    </w:p>
    <w:bookmarkStart w:id="213" w:name="refs"/>
    <w:bookmarkStart w:id="108" w:name="ref-Andreadis2009"/>
    <w:p>
      <w:pPr>
        <w:pStyle w:val="943"/>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7">
        <w:r>
          <w:rPr>
            <w:rStyle w:val="894"/>
          </w:rPr>
          <w:t xml:space="preserve">https://doi.org/10.1029/2008WR007042</w:t>
        </w:r>
      </w:hyperlink>
    </w:p>
    <w:bookmarkEnd w:id="108"/>
    <w:bookmarkStart w:id="110" w:name="ref-Bartlett2015"/>
    <w:p>
      <w:pPr>
        <w:pStyle w:val="943"/>
      </w:pPr>
      <w:r>
        <w:t xml:space="preserve">Bartlett, P. A., &amp; Verseghy, D. L. (2015). Modified treatment of intercepted snow improves the simulated forest albedo in the</w:t>
      </w:r>
      <w:r>
        <w:t xml:space="preserve"> </w:t>
      </w:r>
      <w:r>
        <w:t xml:space="preserve">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09">
        <w:r>
          <w:rPr>
            <w:rStyle w:val="894"/>
          </w:rPr>
          <w:t xml:space="preserve">https://doi.org/10.1002/HYP.10431</w:t>
        </w:r>
      </w:hyperlink>
    </w:p>
    <w:bookmarkEnd w:id="110"/>
    <w:bookmarkStart w:id="112" w:name="ref-Betts1997"/>
    <w:p>
      <w:pPr>
        <w:pStyle w:val="943"/>
      </w:pPr>
      <w:r>
        <w:t xml:space="preserve">Betts, A. K., &amp; Ball, J. H. (1997). Albedo over the boreal forest.</w:t>
      </w:r>
      <w:r>
        <w:t xml:space="preserve"> </w:t>
      </w:r>
      <w:r>
        <w:rPr>
          <w:i/>
          <w:iCs/>
        </w:rPr>
        <w:t xml:space="preserve">Journal of Geophysical Research: Atmospheres</w:t>
      </w:r>
      <w:r>
        <w:t xml:space="preserve">,</w:t>
      </w:r>
      <w:r>
        <w:t xml:space="preserve"> </w:t>
      </w:r>
      <w:r>
        <w:rPr>
          <w:i/>
          <w:iCs/>
        </w:rPr>
        <w:t xml:space="preserve">102</w:t>
      </w:r>
      <w:r>
        <w:t xml:space="preserve">(D24), 28901–28909.</w:t>
      </w:r>
      <w:r>
        <w:t xml:space="preserve"> </w:t>
      </w:r>
      <w:hyperlink r:id="rId111">
        <w:r>
          <w:rPr>
            <w:rStyle w:val="894"/>
          </w:rPr>
          <w:t xml:space="preserve">https://doi.org/10.1029/96JD03876</w:t>
        </w:r>
      </w:hyperlink>
    </w:p>
    <w:bookmarkEnd w:id="112"/>
    <w:bookmarkStart w:id="113" w:name="ref-Calder1990"/>
    <w:p>
      <w:pPr>
        <w:pStyle w:val="943"/>
      </w:pPr>
      <w:r>
        <w:t xml:space="preserve">Calder, I. R. (1990).</w:t>
      </w:r>
      <w:r>
        <w:t xml:space="preserve"> </w:t>
      </w:r>
      <w:r>
        <w:rPr>
          <w:i/>
          <w:iCs/>
        </w:rPr>
        <w:t xml:space="preserve">Evaporation in the uplands</w:t>
      </w:r>
      <w:r>
        <w:t xml:space="preserve"> </w:t>
      </w:r>
      <w:r>
        <w:t xml:space="preserve">(p. 148). Wiley.</w:t>
      </w:r>
    </w:p>
    <w:bookmarkEnd w:id="113"/>
    <w:bookmarkStart w:id="115" w:name="ref-Cebulski2025"/>
    <w:p>
      <w:pPr>
        <w:pStyle w:val="943"/>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14">
        <w:r>
          <w:rPr>
            <w:rStyle w:val="894"/>
          </w:rPr>
          <w:t xml:space="preserve">https://doi.org/10.1002/wat2.70010</w:t>
        </w:r>
      </w:hyperlink>
    </w:p>
    <w:bookmarkEnd w:id="115"/>
    <w:bookmarkStart w:id="116" w:name="ref-Chianucci2023"/>
    <w:p>
      <w:pPr>
        <w:pStyle w:val="943"/>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6"/>
    <w:bookmarkStart w:id="118" w:name="ref-Cionco1965"/>
    <w:p>
      <w:pPr>
        <w:pStyle w:val="943"/>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7">
        <w:r>
          <w:rPr>
            <w:rStyle w:val="894"/>
          </w:rPr>
          <w:t xml:space="preserve">https://doi.org/10.1175/1520-0450(1965)004&lt;0517:AMMFAF&gt;2.0.CO;2</w:t>
        </w:r>
      </w:hyperlink>
    </w:p>
    <w:bookmarkEnd w:id="118"/>
    <w:bookmarkStart w:id="120" w:name="ref-Ellis2010"/>
    <w:p>
      <w:pPr>
        <w:pStyle w:val="943"/>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9">
        <w:r>
          <w:rPr>
            <w:rStyle w:val="894"/>
          </w:rPr>
          <w:t xml:space="preserve">https://doi.org/10.5194/hess-14-925-2010</w:t>
        </w:r>
      </w:hyperlink>
    </w:p>
    <w:bookmarkEnd w:id="120"/>
    <w:bookmarkStart w:id="122" w:name="ref-Ellis2013"/>
    <w:p>
      <w:pPr>
        <w:pStyle w:val="943"/>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21">
        <w:r>
          <w:rPr>
            <w:rStyle w:val="894"/>
          </w:rPr>
          <w:t xml:space="preserve">https://doi.org/10.1002/wrcr.20089</w:t>
        </w:r>
      </w:hyperlink>
    </w:p>
    <w:bookmarkEnd w:id="122"/>
    <w:bookmarkStart w:id="124" w:name="ref-Essery2003"/>
    <w:p>
      <w:pPr>
        <w:pStyle w:val="943"/>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3">
        <w:r>
          <w:rPr>
            <w:rStyle w:val="894"/>
          </w:rPr>
          <w:t xml:space="preserve">https://doi.org/10.1175/1520-0442(2003)016&lt;1855:SOSFCF&gt;2.0.CO;2</w:t>
        </w:r>
      </w:hyperlink>
    </w:p>
    <w:bookmarkEnd w:id="124"/>
    <w:bookmarkStart w:id="126" w:name="ref-Floyd2012"/>
    <w:p>
      <w:pPr>
        <w:pStyle w:val="943"/>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25">
        <w:r>
          <w:rPr>
            <w:rStyle w:val="894"/>
          </w:rPr>
          <w:t xml:space="preserve">https://dx.doi.org/10.14288/1.0073024</w:t>
        </w:r>
      </w:hyperlink>
    </w:p>
    <w:bookmarkEnd w:id="126"/>
    <w:bookmarkStart w:id="128" w:name="ref-Fryer1988"/>
    <w:p>
      <w:pPr>
        <w:pStyle w:val="943"/>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7">
        <w:r>
          <w:rPr>
            <w:rStyle w:val="894"/>
          </w:rPr>
          <w:t xml:space="preserve">https://doi.org/10.2307/2403766</w:t>
        </w:r>
      </w:hyperlink>
    </w:p>
    <w:bookmarkEnd w:id="128"/>
    <w:bookmarkStart w:id="130" w:name="ref-Gelfan2004"/>
    <w:p>
      <w:pPr>
        <w:pStyle w:val="943"/>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9">
        <w:r>
          <w:rPr>
            <w:rStyle w:val="894"/>
          </w:rPr>
          <w:t xml:space="preserve">https://doi.org/10.1175/1525-7541(2004)005&lt;0785:MFCIOS&gt;2.0.CO;2</w:t>
        </w:r>
      </w:hyperlink>
    </w:p>
    <w:bookmarkEnd w:id="130"/>
    <w:bookmarkStart w:id="132" w:name="ref-Golding1978"/>
    <w:p>
      <w:pPr>
        <w:pStyle w:val="943"/>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31">
        <w:r>
          <w:rPr>
            <w:rStyle w:val="894"/>
          </w:rPr>
          <w:t xml:space="preserve">https://doi.org/10.1139/x78-057</w:t>
        </w:r>
      </w:hyperlink>
    </w:p>
    <w:bookmarkEnd w:id="132"/>
    <w:bookmarkStart w:id="134" w:name="ref-Harder2013"/>
    <w:p>
      <w:pPr>
        <w:pStyle w:val="943"/>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33">
        <w:r>
          <w:rPr>
            <w:rStyle w:val="894"/>
          </w:rPr>
          <w:t xml:space="preserve">https://doi.org/10.1002/hyp.9799</w:t>
        </w:r>
      </w:hyperlink>
    </w:p>
    <w:bookmarkEnd w:id="134"/>
    <w:bookmarkStart w:id="136" w:name="ref-Harder2020"/>
    <w:p>
      <w:pPr>
        <w:pStyle w:val="943"/>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5">
        <w:r>
          <w:rPr>
            <w:rStyle w:val="894"/>
          </w:rPr>
          <w:t xml:space="preserve">https://doi.org/10.5194/tc-14-1919-2020</w:t>
        </w:r>
      </w:hyperlink>
    </w:p>
    <w:bookmarkEnd w:id="136"/>
    <w:bookmarkStart w:id="138" w:name="ref-Harpold2020"/>
    <w:p>
      <w:pPr>
        <w:pStyle w:val="943"/>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7">
        <w:r>
          <w:rPr>
            <w:rStyle w:val="894"/>
          </w:rPr>
          <w:t xml:space="preserve">https://doi.org/10.1002/eco.2203</w:t>
        </w:r>
      </w:hyperlink>
    </w:p>
    <w:bookmarkEnd w:id="138"/>
    <w:bookmarkStart w:id="140" w:name="ref-Hedstrom1998"/>
    <w:p>
      <w:pPr>
        <w:pStyle w:val="943"/>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9">
        <w:r>
          <w:rPr>
            <w:rStyle w:val="894"/>
          </w:rPr>
          <w:t xml:space="preserve">https://doi.org/10.1002/(SICI)1099-1085(199808/09)12:10/11&lt;1611::AID-HYP684&gt;3.0.CO;2-4</w:t>
        </w:r>
      </w:hyperlink>
    </w:p>
    <w:bookmarkEnd w:id="140"/>
    <w:bookmarkStart w:id="142" w:name="ref-Herwitz1995"/>
    <w:p>
      <w:pPr>
        <w:pStyle w:val="943"/>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41">
        <w:r>
          <w:rPr>
            <w:rStyle w:val="894"/>
          </w:rPr>
          <w:t xml:space="preserve">https://doi.org/10.1016/0022-1694(94)02643-P</w:t>
        </w:r>
      </w:hyperlink>
    </w:p>
    <w:bookmarkEnd w:id="142"/>
    <w:bookmarkStart w:id="143" w:name="ref-Isyumov1971"/>
    <w:p>
      <w:pPr>
        <w:pStyle w:val="943"/>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43"/>
    <w:bookmarkStart w:id="145" w:name="ref-Katsushima2023"/>
    <w:p>
      <w:pPr>
        <w:pStyle w:val="943"/>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44">
        <w:r>
          <w:rPr>
            <w:rStyle w:val="894"/>
          </w:rPr>
          <w:t xml:space="preserve">https://doi.org/10.1002/hyp.14922</w:t>
        </w:r>
      </w:hyperlink>
    </w:p>
    <w:bookmarkEnd w:id="145"/>
    <w:bookmarkStart w:id="147" w:name="ref-Kim2017"/>
    <w:p>
      <w:pPr>
        <w:pStyle w:val="943"/>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6">
        <w:r>
          <w:rPr>
            <w:rStyle w:val="894"/>
          </w:rPr>
          <w:t xml:space="preserve">https://doi.org/10.1109/IGARSS.2017.8127222</w:t>
        </w:r>
      </w:hyperlink>
    </w:p>
    <w:bookmarkEnd w:id="147"/>
    <w:bookmarkStart w:id="149" w:name="ref-Kobayashi1987"/>
    <w:p>
      <w:pPr>
        <w:pStyle w:val="943"/>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8">
        <w:r>
          <w:rPr>
            <w:rStyle w:val="894"/>
          </w:rPr>
          <w:t xml:space="preserve">https://doi.org/10.1016/0165-232X(87)90005-X</w:t>
        </w:r>
      </w:hyperlink>
    </w:p>
    <w:bookmarkEnd w:id="149"/>
    <w:bookmarkStart w:id="151" w:name="ref-Kozak1995"/>
    <w:p>
      <w:pPr>
        <w:pStyle w:val="943"/>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50">
        <w:r>
          <w:rPr>
            <w:rStyle w:val="894"/>
          </w:rPr>
          <w:t xml:space="preserve">https://doi.org/10.5558/tfc71326-3</w:t>
        </w:r>
      </w:hyperlink>
    </w:p>
    <w:bookmarkEnd w:id="151"/>
    <w:bookmarkStart w:id="153" w:name="ref-Langs2020"/>
    <w:p>
      <w:pPr>
        <w:pStyle w:val="943"/>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52">
        <w:r>
          <w:rPr>
            <w:rStyle w:val="894"/>
          </w:rPr>
          <w:t xml:space="preserve">https://doi.org/10.1002/hyp.13986</w:t>
        </w:r>
      </w:hyperlink>
    </w:p>
    <w:bookmarkEnd w:id="153"/>
    <w:bookmarkStart w:id="155" w:name="ref-Lehtonen2016"/>
    <w:p>
      <w:pPr>
        <w:pStyle w:val="943"/>
      </w:pPr>
      <w:r>
        <w:t xml:space="preserve">Lehtonen, I., Kämäraïnen, M., Gregow, H., Venälaïnen, A., &amp; Peltola, H. (2016). Heavy snow loads in</w:t>
      </w:r>
      <w:r>
        <w:t xml:space="preserve"> </w:t>
      </w:r>
      <w:r>
        <w:t xml:space="preserve">Finnish</w:t>
      </w:r>
      <w:r>
        <w:t xml:space="preserve"> </w:t>
      </w:r>
      <w:r>
        <w:t xml:space="preserve">forests respond regionally asymmetrically to projected climate change.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154">
        <w:r>
          <w:rPr>
            <w:rStyle w:val="894"/>
          </w:rPr>
          <w:t xml:space="preserve">https://doi.org/10.5194/nhess-16-2259-2016</w:t>
        </w:r>
      </w:hyperlink>
    </w:p>
    <w:bookmarkEnd w:id="155"/>
    <w:bookmarkStart w:id="157" w:name="ref-Lumbrazo2022"/>
    <w:p>
      <w:pPr>
        <w:pStyle w:val="943"/>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56">
        <w:r>
          <w:rPr>
            <w:rStyle w:val="894"/>
          </w:rPr>
          <w:t xml:space="preserve">https://doi.org/10.1029/2021WR030852</w:t>
        </w:r>
      </w:hyperlink>
    </w:p>
    <w:bookmarkEnd w:id="157"/>
    <w:bookmarkStart w:id="158" w:name="ref-Lundberg1994"/>
    <w:p>
      <w:pPr>
        <w:pStyle w:val="943"/>
      </w:pPr>
      <w:r>
        <w:t xml:space="preserve">Lundberg, A., &amp; Hallidin,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8"/>
    <w:bookmarkStart w:id="160" w:name="ref-Lundquist2021"/>
    <w:p>
      <w:pPr>
        <w:pStyle w:val="943"/>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9">
        <w:r>
          <w:rPr>
            <w:rStyle w:val="894"/>
          </w:rPr>
          <w:t xml:space="preserve">https://doi.org/10.1002/hyp.14274</w:t>
        </w:r>
      </w:hyperlink>
    </w:p>
    <w:bookmarkEnd w:id="160"/>
    <w:bookmarkStart w:id="161" w:name="ref-MacDonald2010"/>
    <w:p>
      <w:pPr>
        <w:pStyle w:val="943"/>
      </w:pPr>
      <w:r>
        <w:t xml:space="preserve">MacDonald, J. P. J. (2010).</w:t>
      </w:r>
      <w:r>
        <w:t xml:space="preserve"> </w:t>
      </w:r>
      <w:r>
        <w:rPr>
          <w:i/>
          <w:iCs/>
        </w:rPr>
        <w:t xml:space="preserve">Unloading of intercepted snow in conifer forests</w:t>
      </w:r>
      <w:r>
        <w:t xml:space="preserve"> </w:t>
      </w:r>
      <w:r>
        <w:t xml:space="preserve">(Master of {{Science}} August; pp. 0–93). University of Saskatchewan.</w:t>
      </w:r>
    </w:p>
    <w:bookmarkEnd w:id="161"/>
    <w:bookmarkStart w:id="163" w:name="ref-Moeser2015"/>
    <w:p>
      <w:pPr>
        <w:pStyle w:val="943"/>
      </w:pPr>
      <w:r>
        <w:t xml:space="preserve">Moeser, D., Stähli, M., &amp; Jonas, T. (2015).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62">
        <w:r>
          <w:rPr>
            <w:rStyle w:val="894"/>
          </w:rPr>
          <w:t xml:space="preserve">https://doi.org/10.1002/2014WR016724</w:t>
        </w:r>
      </w:hyperlink>
    </w:p>
    <w:bookmarkEnd w:id="163"/>
    <w:bookmarkStart w:id="165" w:name="ref-Musselman2015a"/>
    <w:p>
      <w:pPr>
        <w:pStyle w:val="943"/>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64">
        <w:r>
          <w:rPr>
            <w:rStyle w:val="894"/>
          </w:rPr>
          <w:t xml:space="preserve">https://doi.org/10.1016/j.agrformet.2015.03.014</w:t>
        </w:r>
      </w:hyperlink>
    </w:p>
    <w:bookmarkEnd w:id="165"/>
    <w:bookmarkStart w:id="167" w:name="ref-Nock2016"/>
    <w:p>
      <w:pPr>
        <w:pStyle w:val="943"/>
      </w:pPr>
      <w:r>
        <w:t xml:space="preserve">Nock, C. A., Lecigne, B., Taugourdeau, O., Greene, D. F., Dauzat, J., Delagrange, S., &amp; Messier, C. (2016). Linking ice accretion and crown structure: Towards a model of the effect of freezing rain on tree canopies.</w:t>
      </w:r>
      <w:r>
        <w:t xml:space="preserve"> </w:t>
      </w:r>
      <w:r>
        <w:rPr>
          <w:i/>
          <w:iCs/>
        </w:rPr>
        <w:t xml:space="preserve">Annals of Botany</w:t>
      </w:r>
      <w:r>
        <w:t xml:space="preserve">,</w:t>
      </w:r>
      <w:r>
        <w:t xml:space="preserve"> </w:t>
      </w:r>
      <w:r>
        <w:rPr>
          <w:i/>
          <w:iCs/>
        </w:rPr>
        <w:t xml:space="preserve">117</w:t>
      </w:r>
      <w:r>
        <w:t xml:space="preserve">(7), 1163–1173.</w:t>
      </w:r>
      <w:r>
        <w:t xml:space="preserve"> </w:t>
      </w:r>
      <w:hyperlink r:id="rId166">
        <w:r>
          <w:rPr>
            <w:rStyle w:val="894"/>
          </w:rPr>
          <w:t xml:space="preserve">https://doi.org/10.1093/aob/mcw059</w:t>
        </w:r>
      </w:hyperlink>
    </w:p>
    <w:bookmarkEnd w:id="167"/>
    <w:bookmarkStart w:id="169" w:name="ref-Parviainen2000"/>
    <w:p>
      <w:pPr>
        <w:pStyle w:val="943"/>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68">
        <w:r>
          <w:rPr>
            <w:rStyle w:val="894"/>
          </w:rPr>
          <w:t xml:space="preserve">https://doi.org/10.1002/1099-1085(20001030)14:15&lt;2669::AID-HYP85&gt;3.0.CO;2-Q</w:t>
        </w:r>
      </w:hyperlink>
    </w:p>
    <w:bookmarkEnd w:id="169"/>
    <w:bookmarkStart w:id="171" w:name="ref-Pfister1999"/>
    <w:p>
      <w:pPr>
        <w:pStyle w:val="943"/>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70">
        <w:r>
          <w:rPr>
            <w:rStyle w:val="894"/>
          </w:rPr>
          <w:t xml:space="preserve">https://doi.org/10.1002/(SICI)1099-1085(199910)13:14/15&lt;2345::AID-HYP873&gt;3.0.CO;2-N</w:t>
        </w:r>
      </w:hyperlink>
    </w:p>
    <w:bookmarkEnd w:id="171"/>
    <w:bookmarkStart w:id="173" w:name="ref-Pomeroy2022"/>
    <w:p>
      <w:pPr>
        <w:pStyle w:val="943"/>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72">
        <w:r>
          <w:rPr>
            <w:rStyle w:val="894"/>
          </w:rPr>
          <w:t xml:space="preserve">https://doi.org/10.1016/j.jhydrol.2022.128711</w:t>
        </w:r>
      </w:hyperlink>
    </w:p>
    <w:bookmarkEnd w:id="173"/>
    <w:bookmarkStart w:id="175" w:name="ref-Pomeroy2012"/>
    <w:p>
      <w:pPr>
        <w:pStyle w:val="943"/>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74">
        <w:r>
          <w:rPr>
            <w:rStyle w:val="894"/>
          </w:rPr>
          <w:t xml:space="preserve">https://doi.org/10.1002/hyp.9248</w:t>
        </w:r>
      </w:hyperlink>
    </w:p>
    <w:bookmarkEnd w:id="175"/>
    <w:bookmarkStart w:id="177" w:name="ref-Pomeroy1997"/>
    <w:p>
      <w:pPr>
        <w:pStyle w:val="943"/>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76">
        <w:r>
          <w:rPr>
            <w:rStyle w:val="894"/>
          </w:rPr>
          <w:t xml:space="preserve">https://doi.org/10.1002/(sici)1099-1085(199709)11:11&lt;1451::aid-hyp449&gt;3.0.co;2-q</w:t>
        </w:r>
      </w:hyperlink>
    </w:p>
    <w:bookmarkEnd w:id="177"/>
    <w:bookmarkStart w:id="179" w:name="ref-Pomeroy1998b"/>
    <w:p>
      <w:pPr>
        <w:pStyle w:val="943"/>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78">
        <w:r>
          <w:rPr>
            <w:rStyle w:val="894"/>
          </w:rPr>
          <w:t xml:space="preserve">https://doi.org/10.1002/(SICI)1099-1085(199812)12:15&lt;2317::AID-HYP799&gt;3.0.CO;2-X</w:t>
        </w:r>
      </w:hyperlink>
    </w:p>
    <w:bookmarkEnd w:id="179"/>
    <w:bookmarkStart w:id="180" w:name="ref-Pomeroy1993a"/>
    <w:p>
      <w:pPr>
        <w:pStyle w:val="943"/>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80"/>
    <w:bookmarkStart w:id="181" w:name="ref-R2024"/>
    <w:p>
      <w:pPr>
        <w:pStyle w:val="943"/>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81"/>
    <w:bookmarkStart w:id="183" w:name="ref-Rittger2020"/>
    <w:p>
      <w:pPr>
        <w:pStyle w:val="943"/>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82">
        <w:r>
          <w:rPr>
            <w:rStyle w:val="894"/>
          </w:rPr>
          <w:t xml:space="preserve">https://doi.org/10.1029/2019WR024914</w:t>
        </w:r>
      </w:hyperlink>
    </w:p>
    <w:bookmarkEnd w:id="183"/>
    <w:bookmarkStart w:id="185" w:name="ref-Roesch2001"/>
    <w:p>
      <w:pPr>
        <w:pStyle w:val="943"/>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84">
        <w:r>
          <w:rPr>
            <w:rStyle w:val="894"/>
          </w:rPr>
          <w:t xml:space="preserve">https://doi.org/10.1007/s003820100153</w:t>
        </w:r>
      </w:hyperlink>
    </w:p>
    <w:bookmarkEnd w:id="185"/>
    <w:bookmarkStart w:id="187" w:name="ref-Roth2019"/>
    <w:p>
      <w:pPr>
        <w:pStyle w:val="943"/>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86">
        <w:r>
          <w:rPr>
            <w:rStyle w:val="894"/>
          </w:rPr>
          <w:t xml:space="preserve">https://doi.org/10.1029/2018WR024089</w:t>
        </w:r>
      </w:hyperlink>
    </w:p>
    <w:bookmarkEnd w:id="187"/>
    <w:bookmarkStart w:id="189" w:name="ref-Safa2021"/>
    <w:p>
      <w:pPr>
        <w:pStyle w:val="943"/>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8">
        <w:r>
          <w:rPr>
            <w:rStyle w:val="894"/>
          </w:rPr>
          <w:t xml:space="preserve">https://doi.org/10.1029/2020WR027522</w:t>
        </w:r>
      </w:hyperlink>
    </w:p>
    <w:bookmarkEnd w:id="189"/>
    <w:bookmarkStart w:id="191" w:name="ref-Satterlund1967"/>
    <w:p>
      <w:pPr>
        <w:pStyle w:val="943"/>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90">
        <w:r>
          <w:rPr>
            <w:rStyle w:val="894"/>
          </w:rPr>
          <w:t xml:space="preserve">https://doi.org/10.1029/WR003i004p01035</w:t>
        </w:r>
      </w:hyperlink>
    </w:p>
    <w:bookmarkEnd w:id="191"/>
    <w:bookmarkStart w:id="193" w:name="ref-Schmidt1991"/>
    <w:p>
      <w:pPr>
        <w:pStyle w:val="943"/>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92">
        <w:r>
          <w:rPr>
            <w:rStyle w:val="894"/>
          </w:rPr>
          <w:t xml:space="preserve">https://doi.org/10.1139/x91-176</w:t>
        </w:r>
      </w:hyperlink>
    </w:p>
    <w:bookmarkEnd w:id="193"/>
    <w:bookmarkStart w:id="195" w:name="ref-Schmidt1989"/>
    <w:p>
      <w:pPr>
        <w:pStyle w:val="943"/>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94">
        <w:r>
          <w:rPr>
            <w:rStyle w:val="894"/>
          </w:rPr>
          <w:t xml:space="preserve">https://doi.org/10.1016/0022-1694(89)90196-0</w:t>
        </w:r>
      </w:hyperlink>
    </w:p>
    <w:bookmarkEnd w:id="195"/>
    <w:bookmarkStart w:id="196" w:name="ref-Smith2007"/>
    <w:p>
      <w:pPr>
        <w:pStyle w:val="943"/>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96"/>
    <w:bookmarkStart w:id="198" w:name="ref-Staines2023"/>
    <w:p>
      <w:pPr>
        <w:pStyle w:val="943"/>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7">
        <w:r>
          <w:rPr>
            <w:rStyle w:val="894"/>
          </w:rPr>
          <w:t xml:space="preserve">https://doi.org/10.1002/hyp.15005</w:t>
        </w:r>
      </w:hyperlink>
    </w:p>
    <w:bookmarkEnd w:id="198"/>
    <w:bookmarkStart w:id="200" w:name="ref-Storck2002"/>
    <w:p>
      <w:pPr>
        <w:pStyle w:val="943"/>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199">
        <w:r>
          <w:rPr>
            <w:rStyle w:val="894"/>
          </w:rPr>
          <w:t xml:space="preserve">https://doi.org/10.1029/2002wr001281</w:t>
        </w:r>
      </w:hyperlink>
    </w:p>
    <w:bookmarkEnd w:id="200"/>
    <w:bookmarkStart w:id="202" w:name="ref-Troendle1983"/>
    <w:p>
      <w:pPr>
        <w:pStyle w:val="943"/>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01">
        <w:r>
          <w:rPr>
            <w:rStyle w:val="894"/>
          </w:rPr>
          <w:t xml:space="preserve">https://doi.org/10.1111/j.1752-1688.1983.tb04593.x</w:t>
        </w:r>
      </w:hyperlink>
    </w:p>
    <w:bookmarkEnd w:id="202"/>
    <w:bookmarkStart w:id="204" w:name="ref-Valante1997"/>
    <w:p>
      <w:pPr>
        <w:pStyle w:val="943"/>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03">
        <w:r>
          <w:rPr>
            <w:rStyle w:val="894"/>
          </w:rPr>
          <w:t xml:space="preserve">https://doi.org/10.1016/S0022-1694(96)03066-1</w:t>
        </w:r>
      </w:hyperlink>
    </w:p>
    <w:bookmarkEnd w:id="204"/>
    <w:bookmarkStart w:id="206" w:name="ref-VanStan2011"/>
    <w:p>
      <w:pPr>
        <w:pStyle w:val="943"/>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05">
        <w:r>
          <w:rPr>
            <w:rStyle w:val="894"/>
          </w:rPr>
          <w:t xml:space="preserve">https://doi.org/10.1016/j.agrformet.2011.05.008</w:t>
        </w:r>
      </w:hyperlink>
    </w:p>
    <w:bookmarkEnd w:id="206"/>
    <w:bookmarkStart w:id="208" w:name="ref-Varhola2010"/>
    <w:p>
      <w:pPr>
        <w:pStyle w:val="943"/>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7">
        <w:r>
          <w:rPr>
            <w:rStyle w:val="894"/>
          </w:rPr>
          <w:t xml:space="preserve">https://doi.org/10.1016/j.jhydrol.2010.08.009</w:t>
        </w:r>
      </w:hyperlink>
    </w:p>
    <w:bookmarkEnd w:id="208"/>
    <w:bookmarkStart w:id="210" w:name="ref-Vionnet2021"/>
    <w:p>
      <w:pPr>
        <w:pStyle w:val="943"/>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09">
        <w:r>
          <w:rPr>
            <w:rStyle w:val="894"/>
          </w:rPr>
          <w:t xml:space="preserve">https://doi.org/10.5194/essd-13-4603-2021</w:t>
        </w:r>
      </w:hyperlink>
    </w:p>
    <w:bookmarkEnd w:id="210"/>
    <w:bookmarkStart w:id="211" w:name="ref-Watanabe1964"/>
    <w:p>
      <w:pPr>
        <w:pStyle w:val="943"/>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 Govt. Forest Exp. Sta. Bull</w:t>
      </w:r>
      <w:r>
        <w:t xml:space="preserve">,</w:t>
      </w:r>
      <w:r>
        <w:t xml:space="preserve"> </w:t>
      </w:r>
      <w:r>
        <w:rPr>
          <w:i/>
          <w:iCs/>
        </w:rPr>
        <w:t xml:space="preserve">169</w:t>
      </w:r>
      <w:r>
        <w:t xml:space="preserve">, 121–140.</w:t>
      </w:r>
    </w:p>
    <w:bookmarkEnd w:id="211"/>
    <w:bookmarkStart w:id="212" w:name="ref-Wheeler1987"/>
    <w:p>
      <w:pPr>
        <w:pStyle w:val="943"/>
      </w:pPr>
      <w:r>
        <w:t xml:space="preserve">Wheeler, K. (1987). Interception and redistribution of snow in a subalpine forest on a storm-by-storm basis. In</w:t>
      </w:r>
      <w:r>
        <w:t xml:space="preserve"> </w:t>
      </w:r>
      <w:r>
        <w:rPr>
          <w:i/>
          <w:iCs/>
        </w:rPr>
        <w:t xml:space="preserve">55th annual western snow conference</w:t>
      </w:r>
      <w:r>
        <w:t xml:space="preserve">. Western Snow Conference.</w:t>
      </w:r>
    </w:p>
    <w:bookmarkEnd w:id="212"/>
    <w:bookmarkEnd w:id="213"/>
    <w:bookmarkEnd w:id="214"/>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5" Target="media/rId85.png" /><Relationship Type="http://schemas.openxmlformats.org/officeDocument/2006/relationships/image" Id="rId66" Target="media/rId66.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94" Target="media/rId94.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39" Target="https://doi.org/10.1002/(SICI)1099-1085(199808/09)12:10/11&lt;1611::AID-HYP684&gt;3.0.CO;2-4" TargetMode="External" /><Relationship Type="http://schemas.openxmlformats.org/officeDocument/2006/relationships/hyperlink" Id="rId178" Target="https://doi.org/10.1002/(SICI)1099-1085(199812)12:15&lt;2317::AID-HYP799&gt;3.0.CO;2-X" TargetMode="External" /><Relationship Type="http://schemas.openxmlformats.org/officeDocument/2006/relationships/hyperlink" Id="rId170" Target="https://doi.org/10.1002/(SICI)1099-1085(199910)13:14/15&lt;2345::AID-HYP873&gt;3.0.CO;2-N" TargetMode="External" /><Relationship Type="http://schemas.openxmlformats.org/officeDocument/2006/relationships/hyperlink" Id="rId176" Target="https://doi.org/10.1002/(sici)1099-1085(199709)11:11&lt;1451::aid-hyp449&gt;3.0.co;2-q" TargetMode="External" /><Relationship Type="http://schemas.openxmlformats.org/officeDocument/2006/relationships/hyperlink" Id="rId168" Target="https://doi.org/10.1002/1099-1085(20001030)14:15&lt;2669::AID-HYP85&gt;3.0.CO;2-Q" TargetMode="External" /><Relationship Type="http://schemas.openxmlformats.org/officeDocument/2006/relationships/hyperlink" Id="rId162" Target="https://doi.org/10.1002/2014WR016724" TargetMode="External" /><Relationship Type="http://schemas.openxmlformats.org/officeDocument/2006/relationships/hyperlink" Id="rId109" Target="https://doi.org/10.1002/HYP.10431" TargetMode="External" /><Relationship Type="http://schemas.openxmlformats.org/officeDocument/2006/relationships/hyperlink" Id="rId137" Target="https://doi.org/10.1002/eco.2203" TargetMode="External" /><Relationship Type="http://schemas.openxmlformats.org/officeDocument/2006/relationships/hyperlink" Id="rId152" Target="https://doi.org/10.1002/hyp.13986" TargetMode="External" /><Relationship Type="http://schemas.openxmlformats.org/officeDocument/2006/relationships/hyperlink" Id="rId159" Target="https://doi.org/10.1002/hyp.14274" TargetMode="External" /><Relationship Type="http://schemas.openxmlformats.org/officeDocument/2006/relationships/hyperlink" Id="rId144" Target="https://doi.org/10.1002/hyp.14922" TargetMode="External" /><Relationship Type="http://schemas.openxmlformats.org/officeDocument/2006/relationships/hyperlink" Id="rId197" Target="https://doi.org/10.1002/hyp.15005" TargetMode="External" /><Relationship Type="http://schemas.openxmlformats.org/officeDocument/2006/relationships/hyperlink" Id="rId174" Target="https://doi.org/10.1002/hyp.9248" TargetMode="External" /><Relationship Type="http://schemas.openxmlformats.org/officeDocument/2006/relationships/hyperlink" Id="rId133" Target="https://doi.org/10.1002/hyp.9799" TargetMode="External" /><Relationship Type="http://schemas.openxmlformats.org/officeDocument/2006/relationships/hyperlink" Id="rId114" Target="https://doi.org/10.1002/wat2.70010" TargetMode="External" /><Relationship Type="http://schemas.openxmlformats.org/officeDocument/2006/relationships/hyperlink" Id="rId121" Target="https://doi.org/10.1002/wrcr.20089" TargetMode="External" /><Relationship Type="http://schemas.openxmlformats.org/officeDocument/2006/relationships/hyperlink" Id="rId184" Target="https://doi.org/10.1007/s003820100153" TargetMode="External" /><Relationship Type="http://schemas.openxmlformats.org/officeDocument/2006/relationships/hyperlink" Id="rId194" Target="https://doi.org/10.1016/0022-1694(89)90196-0" TargetMode="External" /><Relationship Type="http://schemas.openxmlformats.org/officeDocument/2006/relationships/hyperlink" Id="rId141" Target="https://doi.org/10.1016/0022-1694(94)02643-P" TargetMode="External" /><Relationship Type="http://schemas.openxmlformats.org/officeDocument/2006/relationships/hyperlink" Id="rId148" Target="https://doi.org/10.1016/0165-232X(87)90005-X" TargetMode="External" /><Relationship Type="http://schemas.openxmlformats.org/officeDocument/2006/relationships/hyperlink" Id="rId203" Target="https://doi.org/10.1016/S0022-1694(96)03066-1" TargetMode="External" /><Relationship Type="http://schemas.openxmlformats.org/officeDocument/2006/relationships/hyperlink" Id="rId205" Target="https://doi.org/10.1016/j.agrformet.2011.05.008" TargetMode="External" /><Relationship Type="http://schemas.openxmlformats.org/officeDocument/2006/relationships/hyperlink" Id="rId164" Target="https://doi.org/10.1016/j.agrformet.2015.03.014" TargetMode="External" /><Relationship Type="http://schemas.openxmlformats.org/officeDocument/2006/relationships/hyperlink" Id="rId207" Target="https://doi.org/10.1016/j.jhydrol.2010.08.009" TargetMode="External" /><Relationship Type="http://schemas.openxmlformats.org/officeDocument/2006/relationships/hyperlink" Id="rId172" Target="https://doi.org/10.1016/j.jhydrol.2022.128711" TargetMode="External" /><Relationship Type="http://schemas.openxmlformats.org/officeDocument/2006/relationships/hyperlink" Id="rId199" Target="https://doi.org/10.1029/2002wr001281" TargetMode="External" /><Relationship Type="http://schemas.openxmlformats.org/officeDocument/2006/relationships/hyperlink" Id="rId107" Target="https://doi.org/10.1029/2008WR007042" TargetMode="External" /><Relationship Type="http://schemas.openxmlformats.org/officeDocument/2006/relationships/hyperlink" Id="rId186" Target="https://doi.org/10.1029/2018WR024089" TargetMode="External" /><Relationship Type="http://schemas.openxmlformats.org/officeDocument/2006/relationships/hyperlink" Id="rId182" Target="https://doi.org/10.1029/2019WR024914" TargetMode="External" /><Relationship Type="http://schemas.openxmlformats.org/officeDocument/2006/relationships/hyperlink" Id="rId188" Target="https://doi.org/10.1029/2020WR027522" TargetMode="External" /><Relationship Type="http://schemas.openxmlformats.org/officeDocument/2006/relationships/hyperlink" Id="rId156" Target="https://doi.org/10.1029/2021WR030852" TargetMode="External" /><Relationship Type="http://schemas.openxmlformats.org/officeDocument/2006/relationships/hyperlink" Id="rId111" Target="https://doi.org/10.1029/96JD03876" TargetMode="External" /><Relationship Type="http://schemas.openxmlformats.org/officeDocument/2006/relationships/hyperlink" Id="rId190" Target="https://doi.org/10.1029/WR003i004p01035" TargetMode="External" /><Relationship Type="http://schemas.openxmlformats.org/officeDocument/2006/relationships/hyperlink" Id="rId166" Target="https://doi.org/10.1093/aob/mcw059" TargetMode="External" /><Relationship Type="http://schemas.openxmlformats.org/officeDocument/2006/relationships/hyperlink" Id="rId146" Target="https://doi.org/10.1109/IGARSS.2017.8127222" TargetMode="External" /><Relationship Type="http://schemas.openxmlformats.org/officeDocument/2006/relationships/hyperlink" Id="rId201" Target="https://doi.org/10.1111/j.1752-1688.1983.tb04593.x" TargetMode="External" /><Relationship Type="http://schemas.openxmlformats.org/officeDocument/2006/relationships/hyperlink" Id="rId131" Target="https://doi.org/10.1139/x78-057" TargetMode="External" /><Relationship Type="http://schemas.openxmlformats.org/officeDocument/2006/relationships/hyperlink" Id="rId192" Target="https://doi.org/10.1139/x91-176" TargetMode="External" /><Relationship Type="http://schemas.openxmlformats.org/officeDocument/2006/relationships/hyperlink" Id="rId123" Target="https://doi.org/10.1175/1520-0442(2003)016&lt;1855:SOSFCF&gt;2.0.CO;2" TargetMode="External" /><Relationship Type="http://schemas.openxmlformats.org/officeDocument/2006/relationships/hyperlink" Id="rId117" Target="https://doi.org/10.1175/1520-0450(1965)004&lt;0517:AMMFAF&gt;2.0.CO;2" TargetMode="External" /><Relationship Type="http://schemas.openxmlformats.org/officeDocument/2006/relationships/hyperlink" Id="rId129" Target="https://doi.org/10.1175/1525-7541(2004)005&lt;0785:MFCIOS&gt;2.0.CO;2" TargetMode="External" /><Relationship Type="http://schemas.openxmlformats.org/officeDocument/2006/relationships/hyperlink" Id="rId127" Target="https://doi.org/10.2307/2403766" TargetMode="External" /><Relationship Type="http://schemas.openxmlformats.org/officeDocument/2006/relationships/hyperlink" Id="rId209" Target="https://doi.org/10.5194/essd-13-4603-2021" TargetMode="External" /><Relationship Type="http://schemas.openxmlformats.org/officeDocument/2006/relationships/hyperlink" Id="rId119" Target="https://doi.org/10.5194/hess-14-925-2010" TargetMode="External" /><Relationship Type="http://schemas.openxmlformats.org/officeDocument/2006/relationships/hyperlink" Id="rId154" Target="https://doi.org/10.5194/nhess-16-2259-2016" TargetMode="External" /><Relationship Type="http://schemas.openxmlformats.org/officeDocument/2006/relationships/hyperlink" Id="rId135" Target="https://doi.org/10.5194/tc-14-1919-2020" TargetMode="External" /><Relationship Type="http://schemas.openxmlformats.org/officeDocument/2006/relationships/hyperlink" Id="rId150" Target="https://doi.org/10.5558/tfc71326-3" TargetMode="External" /><Relationship Type="http://schemas.openxmlformats.org/officeDocument/2006/relationships/hyperlink" Id="rId125" Target="https://dx.doi.org/10.14288/1.0073024"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39" Target="https://doi.org/10.1002/(SICI)1099-1085(199808/09)12:10/11&lt;1611::AID-HYP684&gt;3.0.CO;2-4" TargetMode="External" /><Relationship Type="http://schemas.openxmlformats.org/officeDocument/2006/relationships/hyperlink" Id="rId178" Target="https://doi.org/10.1002/(SICI)1099-1085(199812)12:15&lt;2317::AID-HYP799&gt;3.0.CO;2-X" TargetMode="External" /><Relationship Type="http://schemas.openxmlformats.org/officeDocument/2006/relationships/hyperlink" Id="rId170" Target="https://doi.org/10.1002/(SICI)1099-1085(199910)13:14/15&lt;2345::AID-HYP873&gt;3.0.CO;2-N" TargetMode="External" /><Relationship Type="http://schemas.openxmlformats.org/officeDocument/2006/relationships/hyperlink" Id="rId176" Target="https://doi.org/10.1002/(sici)1099-1085(199709)11:11&lt;1451::aid-hyp449&gt;3.0.co;2-q" TargetMode="External" /><Relationship Type="http://schemas.openxmlformats.org/officeDocument/2006/relationships/hyperlink" Id="rId168" Target="https://doi.org/10.1002/1099-1085(20001030)14:15&lt;2669::AID-HYP85&gt;3.0.CO;2-Q" TargetMode="External" /><Relationship Type="http://schemas.openxmlformats.org/officeDocument/2006/relationships/hyperlink" Id="rId162" Target="https://doi.org/10.1002/2014WR016724" TargetMode="External" /><Relationship Type="http://schemas.openxmlformats.org/officeDocument/2006/relationships/hyperlink" Id="rId109" Target="https://doi.org/10.1002/HYP.10431" TargetMode="External" /><Relationship Type="http://schemas.openxmlformats.org/officeDocument/2006/relationships/hyperlink" Id="rId137" Target="https://doi.org/10.1002/eco.2203" TargetMode="External" /><Relationship Type="http://schemas.openxmlformats.org/officeDocument/2006/relationships/hyperlink" Id="rId152" Target="https://doi.org/10.1002/hyp.13986" TargetMode="External" /><Relationship Type="http://schemas.openxmlformats.org/officeDocument/2006/relationships/hyperlink" Id="rId159" Target="https://doi.org/10.1002/hyp.14274" TargetMode="External" /><Relationship Type="http://schemas.openxmlformats.org/officeDocument/2006/relationships/hyperlink" Id="rId144" Target="https://doi.org/10.1002/hyp.14922" TargetMode="External" /><Relationship Type="http://schemas.openxmlformats.org/officeDocument/2006/relationships/hyperlink" Id="rId197" Target="https://doi.org/10.1002/hyp.15005" TargetMode="External" /><Relationship Type="http://schemas.openxmlformats.org/officeDocument/2006/relationships/hyperlink" Id="rId174" Target="https://doi.org/10.1002/hyp.9248" TargetMode="External" /><Relationship Type="http://schemas.openxmlformats.org/officeDocument/2006/relationships/hyperlink" Id="rId133" Target="https://doi.org/10.1002/hyp.9799" TargetMode="External" /><Relationship Type="http://schemas.openxmlformats.org/officeDocument/2006/relationships/hyperlink" Id="rId114" Target="https://doi.org/10.1002/wat2.70010" TargetMode="External" /><Relationship Type="http://schemas.openxmlformats.org/officeDocument/2006/relationships/hyperlink" Id="rId121" Target="https://doi.org/10.1002/wrcr.20089" TargetMode="External" /><Relationship Type="http://schemas.openxmlformats.org/officeDocument/2006/relationships/hyperlink" Id="rId184" Target="https://doi.org/10.1007/s003820100153" TargetMode="External" /><Relationship Type="http://schemas.openxmlformats.org/officeDocument/2006/relationships/hyperlink" Id="rId194" Target="https://doi.org/10.1016/0022-1694(89)90196-0" TargetMode="External" /><Relationship Type="http://schemas.openxmlformats.org/officeDocument/2006/relationships/hyperlink" Id="rId141" Target="https://doi.org/10.1016/0022-1694(94)02643-P" TargetMode="External" /><Relationship Type="http://schemas.openxmlformats.org/officeDocument/2006/relationships/hyperlink" Id="rId148" Target="https://doi.org/10.1016/0165-232X(87)90005-X" TargetMode="External" /><Relationship Type="http://schemas.openxmlformats.org/officeDocument/2006/relationships/hyperlink" Id="rId203" Target="https://doi.org/10.1016/S0022-1694(96)03066-1" TargetMode="External" /><Relationship Type="http://schemas.openxmlformats.org/officeDocument/2006/relationships/hyperlink" Id="rId205" Target="https://doi.org/10.1016/j.agrformet.2011.05.008" TargetMode="External" /><Relationship Type="http://schemas.openxmlformats.org/officeDocument/2006/relationships/hyperlink" Id="rId164" Target="https://doi.org/10.1016/j.agrformet.2015.03.014" TargetMode="External" /><Relationship Type="http://schemas.openxmlformats.org/officeDocument/2006/relationships/hyperlink" Id="rId207" Target="https://doi.org/10.1016/j.jhydrol.2010.08.009" TargetMode="External" /><Relationship Type="http://schemas.openxmlformats.org/officeDocument/2006/relationships/hyperlink" Id="rId172" Target="https://doi.org/10.1016/j.jhydrol.2022.128711" TargetMode="External" /><Relationship Type="http://schemas.openxmlformats.org/officeDocument/2006/relationships/hyperlink" Id="rId199" Target="https://doi.org/10.1029/2002wr001281" TargetMode="External" /><Relationship Type="http://schemas.openxmlformats.org/officeDocument/2006/relationships/hyperlink" Id="rId107" Target="https://doi.org/10.1029/2008WR007042" TargetMode="External" /><Relationship Type="http://schemas.openxmlformats.org/officeDocument/2006/relationships/hyperlink" Id="rId186" Target="https://doi.org/10.1029/2018WR024089" TargetMode="External" /><Relationship Type="http://schemas.openxmlformats.org/officeDocument/2006/relationships/hyperlink" Id="rId182" Target="https://doi.org/10.1029/2019WR024914" TargetMode="External" /><Relationship Type="http://schemas.openxmlformats.org/officeDocument/2006/relationships/hyperlink" Id="rId188" Target="https://doi.org/10.1029/2020WR027522" TargetMode="External" /><Relationship Type="http://schemas.openxmlformats.org/officeDocument/2006/relationships/hyperlink" Id="rId156" Target="https://doi.org/10.1029/2021WR030852" TargetMode="External" /><Relationship Type="http://schemas.openxmlformats.org/officeDocument/2006/relationships/hyperlink" Id="rId111" Target="https://doi.org/10.1029/96JD03876" TargetMode="External" /><Relationship Type="http://schemas.openxmlformats.org/officeDocument/2006/relationships/hyperlink" Id="rId190" Target="https://doi.org/10.1029/WR003i004p01035" TargetMode="External" /><Relationship Type="http://schemas.openxmlformats.org/officeDocument/2006/relationships/hyperlink" Id="rId166" Target="https://doi.org/10.1093/aob/mcw059" TargetMode="External" /><Relationship Type="http://schemas.openxmlformats.org/officeDocument/2006/relationships/hyperlink" Id="rId146" Target="https://doi.org/10.1109/IGARSS.2017.8127222" TargetMode="External" /><Relationship Type="http://schemas.openxmlformats.org/officeDocument/2006/relationships/hyperlink" Id="rId201" Target="https://doi.org/10.1111/j.1752-1688.1983.tb04593.x" TargetMode="External" /><Relationship Type="http://schemas.openxmlformats.org/officeDocument/2006/relationships/hyperlink" Id="rId131" Target="https://doi.org/10.1139/x78-057" TargetMode="External" /><Relationship Type="http://schemas.openxmlformats.org/officeDocument/2006/relationships/hyperlink" Id="rId192" Target="https://doi.org/10.1139/x91-176" TargetMode="External" /><Relationship Type="http://schemas.openxmlformats.org/officeDocument/2006/relationships/hyperlink" Id="rId123" Target="https://doi.org/10.1175/1520-0442(2003)016&lt;1855:SOSFCF&gt;2.0.CO;2" TargetMode="External" /><Relationship Type="http://schemas.openxmlformats.org/officeDocument/2006/relationships/hyperlink" Id="rId117" Target="https://doi.org/10.1175/1520-0450(1965)004&lt;0517:AMMFAF&gt;2.0.CO;2" TargetMode="External" /><Relationship Type="http://schemas.openxmlformats.org/officeDocument/2006/relationships/hyperlink" Id="rId129" Target="https://doi.org/10.1175/1525-7541(2004)005&lt;0785:MFCIOS&gt;2.0.CO;2" TargetMode="External" /><Relationship Type="http://schemas.openxmlformats.org/officeDocument/2006/relationships/hyperlink" Id="rId127" Target="https://doi.org/10.2307/2403766" TargetMode="External" /><Relationship Type="http://schemas.openxmlformats.org/officeDocument/2006/relationships/hyperlink" Id="rId209" Target="https://doi.org/10.5194/essd-13-4603-2021" TargetMode="External" /><Relationship Type="http://schemas.openxmlformats.org/officeDocument/2006/relationships/hyperlink" Id="rId119" Target="https://doi.org/10.5194/hess-14-925-2010" TargetMode="External" /><Relationship Type="http://schemas.openxmlformats.org/officeDocument/2006/relationships/hyperlink" Id="rId154" Target="https://doi.org/10.5194/nhess-16-2259-2016" TargetMode="External" /><Relationship Type="http://schemas.openxmlformats.org/officeDocument/2006/relationships/hyperlink" Id="rId135" Target="https://doi.org/10.5194/tc-14-1919-2020" TargetMode="External" /><Relationship Type="http://schemas.openxmlformats.org/officeDocument/2006/relationships/hyperlink" Id="rId150" Target="https://doi.org/10.5558/tfc71326-3" TargetMode="External" /><Relationship Type="http://schemas.openxmlformats.org/officeDocument/2006/relationships/hyperlink" Id="rId125" Target="https://dx.doi.org/10.14288/1.0073024"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2025-03-04T22:18:20Z</dcterms:created>
  <dcterms:modified xsi:type="dcterms:W3CDTF">2025-03-04T22:18:20Z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